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0B6D89AA" w:rsidR="00F92268" w:rsidRPr="00E52E54" w:rsidRDefault="00F92268" w:rsidP="00850792">
      <w:pPr>
        <w:pStyle w:val="BodyText"/>
        <w:rPr>
          <w:sz w:val="6"/>
          <w:szCs w:val="6"/>
        </w:rPr>
      </w:pPr>
      <w:r w:rsidRPr="00E52E54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4FD4" w:rsidRPr="00E52E54">
        <w:rPr>
          <w:sz w:val="6"/>
          <w:szCs w:val="6"/>
        </w:rPr>
        <w:t xml:space="preserve"> </w:t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E52E54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52E54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E52E54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E52E54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7C53C4B" w:rsidR="00F92268" w:rsidRPr="00E52E54" w:rsidRDefault="00F46C8D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E52E54">
              <w:rPr>
                <w:rFonts w:cs="Arial"/>
                <w:sz w:val="16"/>
                <w:szCs w:val="16"/>
              </w:rPr>
              <w:t>1999-A</w:t>
            </w:r>
          </w:p>
        </w:tc>
      </w:tr>
    </w:tbl>
    <w:p w14:paraId="74FBA5B4" w14:textId="77777777" w:rsidR="00051356" w:rsidRPr="00E52E54" w:rsidRDefault="00051356" w:rsidP="00A672B3">
      <w:pPr>
        <w:pStyle w:val="BodyText"/>
        <w:rPr>
          <w:b/>
          <w:bCs/>
          <w:sz w:val="16"/>
          <w:szCs w:val="16"/>
        </w:rPr>
        <w:sectPr w:rsidR="00051356" w:rsidRPr="00E52E54" w:rsidSect="00D4674D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37169C7" w:rsidR="004B15BB" w:rsidRPr="00E52E54" w:rsidRDefault="0041211A" w:rsidP="007E5C16">
      <w:pPr>
        <w:pStyle w:val="Heading1"/>
      </w:pPr>
      <w:r w:rsidRPr="00E52E54">
        <w:t>S</w:t>
      </w:r>
      <w:r w:rsidR="00175ECB" w:rsidRPr="00E52E54">
        <w:t>pecialty Guideline Management</w:t>
      </w:r>
      <w:r w:rsidR="008C54D9" w:rsidRPr="00E52E54">
        <w:br/>
      </w:r>
      <w:r w:rsidR="00175ECB" w:rsidRPr="00E52E54">
        <w:t>Jakafi</w:t>
      </w:r>
    </w:p>
    <w:p w14:paraId="11D48A0C" w14:textId="10F3EB49" w:rsidR="00EB22F1" w:rsidRPr="00E52E54" w:rsidRDefault="00EB22F1" w:rsidP="00EB22F1">
      <w:pPr>
        <w:pStyle w:val="Heading2"/>
      </w:pPr>
      <w:r w:rsidRPr="00E52E54">
        <w:t>Products Referenced by this Document</w:t>
      </w:r>
    </w:p>
    <w:p w14:paraId="21C0B791" w14:textId="7C9C6B14" w:rsidR="00EB22F1" w:rsidRPr="00E52E54" w:rsidRDefault="00EB22F1" w:rsidP="00EB22F1">
      <w:pPr>
        <w:pStyle w:val="BodyText"/>
      </w:pPr>
      <w:r w:rsidRPr="00E52E54">
        <w:t xml:space="preserve">Drugs that are listed in the following table include both brand and generic and all dosage forms and strengths unless otherwise stated. </w:t>
      </w:r>
      <w:r w:rsidR="00CB28C1">
        <w:t>Over</w:t>
      </w:r>
      <w:r w:rsidR="00A441AA">
        <w:t>-</w:t>
      </w:r>
      <w:r w:rsidR="00CB28C1">
        <w:t>the</w:t>
      </w:r>
      <w:r w:rsidR="00A441AA">
        <w:t>-</w:t>
      </w:r>
      <w:r w:rsidR="00CB28C1">
        <w:t>counter (</w:t>
      </w:r>
      <w:r w:rsidRPr="00E52E54">
        <w:t>OTC</w:t>
      </w:r>
      <w:r w:rsidR="00CB28C1">
        <w:t>)</w:t>
      </w:r>
      <w:r w:rsidRPr="00E52E54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EB22F1" w:rsidRPr="00E52E54" w14:paraId="25346FA9" w14:textId="77777777" w:rsidTr="00B009B1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794EFAE8" w14:textId="77777777" w:rsidR="00EB22F1" w:rsidRPr="00E52E54" w:rsidRDefault="00EB22F1" w:rsidP="00B009B1">
            <w:pPr>
              <w:pStyle w:val="TableHeader"/>
            </w:pPr>
            <w:r w:rsidRPr="00E52E54">
              <w:t>Brand Name</w:t>
            </w:r>
          </w:p>
        </w:tc>
        <w:tc>
          <w:tcPr>
            <w:tcW w:w="5595" w:type="dxa"/>
            <w:vAlign w:val="center"/>
          </w:tcPr>
          <w:p w14:paraId="65FC9030" w14:textId="77777777" w:rsidR="00EB22F1" w:rsidRPr="00E52E54" w:rsidRDefault="00EB22F1" w:rsidP="00B009B1">
            <w:pPr>
              <w:pStyle w:val="TableHeader"/>
            </w:pPr>
            <w:r w:rsidRPr="00E52E54">
              <w:t>Generic Name</w:t>
            </w:r>
          </w:p>
        </w:tc>
      </w:tr>
      <w:tr w:rsidR="00EB22F1" w:rsidRPr="00E52E54" w14:paraId="081CB325" w14:textId="77777777" w:rsidTr="00B009B1">
        <w:trPr>
          <w:cantSplit/>
        </w:trPr>
        <w:tc>
          <w:tcPr>
            <w:tcW w:w="5265" w:type="dxa"/>
          </w:tcPr>
          <w:p w14:paraId="67AC6149" w14:textId="3AC3D915" w:rsidR="00EB22F1" w:rsidRPr="00E52E54" w:rsidRDefault="00EB22F1" w:rsidP="00B009B1">
            <w:pPr>
              <w:pStyle w:val="TableDataUnpadded"/>
            </w:pPr>
            <w:r w:rsidRPr="00E52E54">
              <w:t>Jakafi</w:t>
            </w:r>
          </w:p>
        </w:tc>
        <w:tc>
          <w:tcPr>
            <w:tcW w:w="5595" w:type="dxa"/>
          </w:tcPr>
          <w:p w14:paraId="5B1D24E1" w14:textId="3AACD3DD" w:rsidR="00EB22F1" w:rsidRPr="00E52E54" w:rsidRDefault="00EB22F1" w:rsidP="00B009B1">
            <w:pPr>
              <w:pStyle w:val="TableDataUnpadded"/>
            </w:pPr>
            <w:r w:rsidRPr="00E52E54">
              <w:t>ruxolitinib</w:t>
            </w:r>
          </w:p>
        </w:tc>
      </w:tr>
    </w:tbl>
    <w:p w14:paraId="14CE6108" w14:textId="789609E3" w:rsidR="00FC1AAD" w:rsidRPr="00E52E54" w:rsidRDefault="00ED052F" w:rsidP="00ED052F">
      <w:pPr>
        <w:pStyle w:val="Heading2"/>
      </w:pPr>
      <w:r w:rsidRPr="00E52E54">
        <w:t>Indications</w:t>
      </w:r>
    </w:p>
    <w:p w14:paraId="3AC44516" w14:textId="66C62D0D" w:rsidR="008514B7" w:rsidRPr="00E52E54" w:rsidRDefault="008514B7" w:rsidP="008514B7">
      <w:pPr>
        <w:pStyle w:val="BodyText"/>
      </w:pPr>
      <w:r w:rsidRPr="00E52E54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759E1F0D" w:rsidR="00ED052F" w:rsidRPr="00E52E54" w:rsidRDefault="00ED052F" w:rsidP="00ED052F">
      <w:pPr>
        <w:pStyle w:val="Heading3"/>
        <w:keepNext w:val="0"/>
      </w:pPr>
      <w:r w:rsidRPr="00E52E54">
        <w:t>FDA-approved Indications</w:t>
      </w:r>
      <w:r w:rsidR="00596BDB" w:rsidRPr="00E52E54">
        <w:rPr>
          <w:vertAlign w:val="superscript"/>
        </w:rPr>
        <w:t>1</w:t>
      </w:r>
    </w:p>
    <w:p w14:paraId="20783218" w14:textId="662E68C0" w:rsidR="00637AF6" w:rsidRPr="007F041D" w:rsidRDefault="00637AF6" w:rsidP="007F041D">
      <w:pPr>
        <w:pStyle w:val="ListParagraph"/>
      </w:pPr>
      <w:r w:rsidRPr="007F041D">
        <w:t>Jakafi is indicated for treatment of intermediate or high-risk myelofibrosis (MF), including primary MF, post-polycythemia vera MF and post-essential thrombocythemia MF in adults.</w:t>
      </w:r>
    </w:p>
    <w:p w14:paraId="68E99BC9" w14:textId="1D7579E0" w:rsidR="00637AF6" w:rsidRPr="007F041D" w:rsidRDefault="00637AF6" w:rsidP="007F041D">
      <w:pPr>
        <w:pStyle w:val="ListParagraph"/>
      </w:pPr>
      <w:r w:rsidRPr="007F041D">
        <w:t>Jakafi is indicated for treatment of polycythemia vera (PV) in adults who have had an inadequate response to or are intolerant of hydroxyurea.</w:t>
      </w:r>
    </w:p>
    <w:p w14:paraId="58D7D90C" w14:textId="3ED154FA" w:rsidR="00637AF6" w:rsidRPr="007F041D" w:rsidRDefault="00637AF6" w:rsidP="007F041D">
      <w:pPr>
        <w:pStyle w:val="ListParagraph"/>
      </w:pPr>
      <w:r w:rsidRPr="007F041D">
        <w:t>Jakafi is indicated for treatment of steroid-refractory acute graft-versus-host disease (</w:t>
      </w:r>
      <w:proofErr w:type="spellStart"/>
      <w:r w:rsidRPr="007F041D">
        <w:t>aGVHD</w:t>
      </w:r>
      <w:proofErr w:type="spellEnd"/>
      <w:r w:rsidRPr="007F041D">
        <w:t>) in adult and pediatric patients 12 years and older.</w:t>
      </w:r>
    </w:p>
    <w:p w14:paraId="03A72985" w14:textId="7FB5C30C" w:rsidR="00637AF6" w:rsidRPr="007F041D" w:rsidRDefault="00637AF6" w:rsidP="007F041D">
      <w:pPr>
        <w:pStyle w:val="ListParagraph"/>
      </w:pPr>
      <w:r w:rsidRPr="007F041D">
        <w:t>Jakafi is indicated for treatment of chronic graft-versus-host disease (</w:t>
      </w:r>
      <w:proofErr w:type="spellStart"/>
      <w:r w:rsidRPr="007F041D">
        <w:t>cGVHD</w:t>
      </w:r>
      <w:proofErr w:type="spellEnd"/>
      <w:r w:rsidRPr="007F041D">
        <w:t>) after failure of one or two lines of systemic therapy in adult and pediatric patients 12 years and older.</w:t>
      </w:r>
    </w:p>
    <w:p w14:paraId="0B5EC236" w14:textId="072A5E08" w:rsidR="0044763A" w:rsidRPr="00E52E54" w:rsidRDefault="009F2EF1" w:rsidP="0044763A">
      <w:pPr>
        <w:pStyle w:val="Heading3"/>
      </w:pPr>
      <w:r w:rsidRPr="00E52E54">
        <w:t>Compendial Uses</w:t>
      </w:r>
      <w:r w:rsidR="00F27BA2" w:rsidRPr="00E52E54">
        <w:rPr>
          <w:vertAlign w:val="superscript"/>
        </w:rPr>
        <w:t>2,7</w:t>
      </w:r>
      <w:r w:rsidR="00391938">
        <w:rPr>
          <w:vertAlign w:val="superscript"/>
        </w:rPr>
        <w:t>-</w:t>
      </w:r>
      <w:r w:rsidR="002845F9">
        <w:rPr>
          <w:vertAlign w:val="superscript"/>
        </w:rPr>
        <w:t>8</w:t>
      </w:r>
    </w:p>
    <w:p w14:paraId="746CE549" w14:textId="36490D25" w:rsidR="00596BDB" w:rsidRPr="007F041D" w:rsidRDefault="00596BDB" w:rsidP="007F041D">
      <w:pPr>
        <w:pStyle w:val="ListParagraph"/>
        <w:numPr>
          <w:ilvl w:val="0"/>
          <w:numId w:val="34"/>
        </w:numPr>
        <w:contextualSpacing w:val="0"/>
      </w:pPr>
      <w:r w:rsidRPr="007F041D">
        <w:t>Symptomatic lower risk myelofibrosis</w:t>
      </w:r>
    </w:p>
    <w:p w14:paraId="10A50673" w14:textId="2B8A1EE2" w:rsidR="00596BDB" w:rsidRPr="007F041D" w:rsidRDefault="00596BDB" w:rsidP="007F041D">
      <w:pPr>
        <w:pStyle w:val="ListParagraph"/>
        <w:numPr>
          <w:ilvl w:val="0"/>
          <w:numId w:val="34"/>
        </w:numPr>
        <w:contextualSpacing w:val="0"/>
      </w:pPr>
      <w:r w:rsidRPr="007F041D">
        <w:t>Myelofibrosis-associated anemia</w:t>
      </w:r>
    </w:p>
    <w:p w14:paraId="25F53708" w14:textId="6CCF80CB" w:rsidR="00596BDB" w:rsidRPr="007F041D" w:rsidRDefault="00596BDB" w:rsidP="007F041D">
      <w:pPr>
        <w:pStyle w:val="ListParagraph"/>
        <w:numPr>
          <w:ilvl w:val="0"/>
          <w:numId w:val="34"/>
        </w:numPr>
        <w:contextualSpacing w:val="0"/>
      </w:pPr>
      <w:r w:rsidRPr="007F041D">
        <w:lastRenderedPageBreak/>
        <w:t>Accelerated/blast phase myeloproliferative neoplasms</w:t>
      </w:r>
    </w:p>
    <w:p w14:paraId="4B4CEBCC" w14:textId="6F8CCA87" w:rsidR="00596BDB" w:rsidRPr="007F041D" w:rsidRDefault="00596BDB" w:rsidP="007F041D">
      <w:pPr>
        <w:pStyle w:val="ListParagraph"/>
        <w:numPr>
          <w:ilvl w:val="0"/>
          <w:numId w:val="34"/>
        </w:numPr>
        <w:contextualSpacing w:val="0"/>
      </w:pPr>
      <w:r w:rsidRPr="007F041D">
        <w:t>Polycythemia vera in patients with inadequate response or loss of response to interferon therapy</w:t>
      </w:r>
    </w:p>
    <w:p w14:paraId="60FECC4C" w14:textId="074294B5" w:rsidR="00596BDB" w:rsidRPr="007F041D" w:rsidRDefault="00596BDB" w:rsidP="007F041D">
      <w:pPr>
        <w:pStyle w:val="ListParagraph"/>
        <w:numPr>
          <w:ilvl w:val="0"/>
          <w:numId w:val="34"/>
        </w:numPr>
        <w:contextualSpacing w:val="0"/>
      </w:pPr>
      <w:r w:rsidRPr="007F041D">
        <w:t>Polycythemia vera in patients with high-risk disease</w:t>
      </w:r>
    </w:p>
    <w:p w14:paraId="29F05B9F" w14:textId="204F9A61" w:rsidR="00596BDB" w:rsidRPr="007F041D" w:rsidRDefault="00596BDB" w:rsidP="007F041D">
      <w:pPr>
        <w:pStyle w:val="ListParagraph"/>
        <w:numPr>
          <w:ilvl w:val="0"/>
          <w:numId w:val="34"/>
        </w:numPr>
        <w:contextualSpacing w:val="0"/>
      </w:pPr>
      <w:r w:rsidRPr="007F041D">
        <w:t>Philadelphia chromosome (Ph-like) B-cell Acute Lymphoblastic Leukemia (ALL)/Lymphoblastic lymphoma (LL)</w:t>
      </w:r>
    </w:p>
    <w:p w14:paraId="04F7BEB4" w14:textId="0A8B389C" w:rsidR="00596BDB" w:rsidRPr="007F041D" w:rsidRDefault="00596BDB" w:rsidP="007F041D">
      <w:pPr>
        <w:pStyle w:val="ListParagraph"/>
        <w:numPr>
          <w:ilvl w:val="0"/>
          <w:numId w:val="34"/>
        </w:numPr>
        <w:contextualSpacing w:val="0"/>
      </w:pPr>
      <w:r w:rsidRPr="007F041D">
        <w:t>Chronic myelomonocytic leukemia (CMML)-2</w:t>
      </w:r>
    </w:p>
    <w:p w14:paraId="2F5BADFF" w14:textId="2F063669" w:rsidR="00596BDB" w:rsidRPr="007F041D" w:rsidRDefault="00D33E9C" w:rsidP="007F041D">
      <w:pPr>
        <w:pStyle w:val="ListParagraph"/>
        <w:numPr>
          <w:ilvl w:val="0"/>
          <w:numId w:val="34"/>
        </w:numPr>
        <w:contextualSpacing w:val="0"/>
      </w:pPr>
      <w:r w:rsidRPr="00D33E9C">
        <w:t>T-cell lymphomas - T-cell large granular lymphocytic leukemia and T-cell prolymphocytic leukemia</w:t>
      </w:r>
    </w:p>
    <w:p w14:paraId="6B2EE8B9" w14:textId="160D1656" w:rsidR="00596BDB" w:rsidRPr="007F041D" w:rsidRDefault="00596BDB" w:rsidP="007F041D">
      <w:pPr>
        <w:pStyle w:val="ListParagraph"/>
        <w:numPr>
          <w:ilvl w:val="0"/>
          <w:numId w:val="34"/>
        </w:numPr>
        <w:contextualSpacing w:val="0"/>
      </w:pPr>
      <w:r w:rsidRPr="007F041D">
        <w:t>Myelodysplastic/Myeloproliferative Neoplasms (MDS/MPN) with neutrophilia</w:t>
      </w:r>
    </w:p>
    <w:p w14:paraId="01A3004A" w14:textId="4587437F" w:rsidR="00596BDB" w:rsidRPr="007F041D" w:rsidRDefault="00596BDB" w:rsidP="007F041D">
      <w:pPr>
        <w:pStyle w:val="ListParagraph"/>
        <w:numPr>
          <w:ilvl w:val="0"/>
          <w:numId w:val="34"/>
        </w:numPr>
        <w:contextualSpacing w:val="0"/>
      </w:pPr>
      <w:r w:rsidRPr="007F041D">
        <w:t>Essential Thrombocythemia</w:t>
      </w:r>
    </w:p>
    <w:p w14:paraId="654ECCC1" w14:textId="71352903" w:rsidR="00596BDB" w:rsidRPr="007F041D" w:rsidRDefault="00596BDB" w:rsidP="007F041D">
      <w:pPr>
        <w:pStyle w:val="ListParagraph"/>
        <w:numPr>
          <w:ilvl w:val="0"/>
          <w:numId w:val="34"/>
        </w:numPr>
        <w:contextualSpacing w:val="0"/>
      </w:pPr>
      <w:r w:rsidRPr="007F041D">
        <w:t>Myeloid/lymphoid neoplasms with eosinophilia and JAK2 rearrangement in blast phase or chronic phase</w:t>
      </w:r>
    </w:p>
    <w:p w14:paraId="1B11F8F6" w14:textId="1F735C0A" w:rsidR="00596BDB" w:rsidRPr="007F041D" w:rsidRDefault="00596BDB" w:rsidP="007F041D">
      <w:pPr>
        <w:pStyle w:val="ListParagraph"/>
        <w:numPr>
          <w:ilvl w:val="0"/>
          <w:numId w:val="34"/>
        </w:numPr>
        <w:contextualSpacing w:val="0"/>
      </w:pPr>
      <w:r w:rsidRPr="007F041D">
        <w:t>CAR T-cell-related toxicities - Cytokine release syndrome (CRS)</w:t>
      </w:r>
    </w:p>
    <w:p w14:paraId="67889390" w14:textId="77777777" w:rsidR="003F4E45" w:rsidRDefault="00596BDB" w:rsidP="007F041D">
      <w:pPr>
        <w:pStyle w:val="ListParagraph"/>
        <w:numPr>
          <w:ilvl w:val="0"/>
          <w:numId w:val="34"/>
        </w:numPr>
        <w:contextualSpacing w:val="0"/>
      </w:pPr>
      <w:r w:rsidRPr="007F041D">
        <w:t>Immune checkpoint inhibitor-related toxicities</w:t>
      </w:r>
    </w:p>
    <w:p w14:paraId="1B88A313" w14:textId="106F408B" w:rsidR="00596BDB" w:rsidRDefault="003F4E45" w:rsidP="003F4E45">
      <w:pPr>
        <w:pStyle w:val="ListParagraph"/>
        <w:numPr>
          <w:ilvl w:val="1"/>
          <w:numId w:val="34"/>
        </w:numPr>
        <w:contextualSpacing w:val="0"/>
      </w:pPr>
      <w:r>
        <w:t>C</w:t>
      </w:r>
      <w:r w:rsidR="00596BDB" w:rsidRPr="007F041D">
        <w:t>oncomitant myositis and myocarditis</w:t>
      </w:r>
    </w:p>
    <w:p w14:paraId="4A8C68F3" w14:textId="5F2B49E8" w:rsidR="003F4E45" w:rsidRPr="007F041D" w:rsidRDefault="003F4E45" w:rsidP="006701B5">
      <w:pPr>
        <w:pStyle w:val="ListParagraph"/>
        <w:numPr>
          <w:ilvl w:val="1"/>
          <w:numId w:val="34"/>
        </w:numPr>
        <w:contextualSpacing w:val="0"/>
      </w:pPr>
      <w:r>
        <w:rPr>
          <w:color w:val="auto"/>
        </w:rPr>
        <w:t>H</w:t>
      </w:r>
      <w:r w:rsidRPr="00C16092">
        <w:rPr>
          <w:color w:val="auto"/>
        </w:rPr>
        <w:t xml:space="preserve">emophagocytic </w:t>
      </w:r>
      <w:proofErr w:type="spellStart"/>
      <w:r w:rsidRPr="00C16092">
        <w:rPr>
          <w:color w:val="auto"/>
        </w:rPr>
        <w:t>lymphohistiocytosis</w:t>
      </w:r>
      <w:proofErr w:type="spellEnd"/>
      <w:r w:rsidRPr="00C16092">
        <w:rPr>
          <w:color w:val="auto"/>
        </w:rPr>
        <w:t>-like syndrome</w:t>
      </w:r>
    </w:p>
    <w:p w14:paraId="0D5A9DD5" w14:textId="1C62382F" w:rsidR="009A5649" w:rsidRPr="007F041D" w:rsidRDefault="009A5649" w:rsidP="007F041D">
      <w:pPr>
        <w:pStyle w:val="BodyText"/>
      </w:pPr>
      <w:r w:rsidRPr="007F041D">
        <w:t>All other indications are considered experimental/investigational and not medically necessary.</w:t>
      </w:r>
    </w:p>
    <w:p w14:paraId="36381B6D" w14:textId="7F1214F9" w:rsidR="000D2496" w:rsidRPr="00E52E54" w:rsidRDefault="000D2496" w:rsidP="000D2496">
      <w:pPr>
        <w:pStyle w:val="Heading2"/>
      </w:pPr>
      <w:r w:rsidRPr="00E52E54">
        <w:t>Documentation</w:t>
      </w:r>
    </w:p>
    <w:p w14:paraId="2180ED6E" w14:textId="69E9C4CE" w:rsidR="000D2496" w:rsidRPr="00E52E54" w:rsidRDefault="000D2496" w:rsidP="000D2496">
      <w:pPr>
        <w:pStyle w:val="BodyText"/>
      </w:pPr>
      <w:r w:rsidRPr="00E52E54">
        <w:t>Submission of the following information is necessary to initiate the prior authorization review:</w:t>
      </w:r>
    </w:p>
    <w:p w14:paraId="1CC6C6DF" w14:textId="77777777" w:rsidR="00EB22F1" w:rsidRDefault="00EB22F1" w:rsidP="007F041D">
      <w:pPr>
        <w:pStyle w:val="ListParagraph"/>
        <w:numPr>
          <w:ilvl w:val="0"/>
          <w:numId w:val="33"/>
        </w:numPr>
        <w:ind w:left="720"/>
        <w:contextualSpacing w:val="0"/>
      </w:pPr>
      <w:r w:rsidRPr="007F041D">
        <w:t>For Ph-like B-cell acute lymphoblastic leukemia/lymphoblastic lymphoma (LL), medical record documentation confirming either a cytokine receptor-like factor 2 (CRLF2) mutation or a mutation associated with activation of the Janus kinase/signal transducers and activators of transcription (JAK/STAT) pathway.</w:t>
      </w:r>
    </w:p>
    <w:p w14:paraId="2EDC894D" w14:textId="7B042D7C" w:rsidR="00146815" w:rsidRPr="007F041D" w:rsidRDefault="00146815" w:rsidP="006701B5">
      <w:pPr>
        <w:pStyle w:val="ListParagraph"/>
        <w:numPr>
          <w:ilvl w:val="0"/>
          <w:numId w:val="34"/>
        </w:numPr>
        <w:contextualSpacing w:val="0"/>
      </w:pPr>
      <w:r>
        <w:t>For m</w:t>
      </w:r>
      <w:r w:rsidRPr="007F041D">
        <w:t>yelodysplastic/</w:t>
      </w:r>
      <w:r>
        <w:t>m</w:t>
      </w:r>
      <w:r w:rsidRPr="007F041D">
        <w:t xml:space="preserve">yeloproliferative </w:t>
      </w:r>
      <w:r>
        <w:t>n</w:t>
      </w:r>
      <w:r w:rsidRPr="007F041D">
        <w:t>eoplasms (MDS/MPN) with neutrophilia</w:t>
      </w:r>
      <w:r>
        <w:t xml:space="preserve">: </w:t>
      </w:r>
      <w:r w:rsidRPr="007F041D">
        <w:t>Testing or analysis confirming JAK2</w:t>
      </w:r>
      <w:r>
        <w:t xml:space="preserve"> mutation or CSF3R mutation</w:t>
      </w:r>
    </w:p>
    <w:p w14:paraId="5720B4D9" w14:textId="3BD0891F" w:rsidR="00EB22F1" w:rsidRPr="007F041D" w:rsidRDefault="00EB22F1" w:rsidP="007F041D">
      <w:pPr>
        <w:pStyle w:val="ListParagraph"/>
        <w:numPr>
          <w:ilvl w:val="0"/>
          <w:numId w:val="33"/>
        </w:numPr>
        <w:ind w:left="720"/>
        <w:contextualSpacing w:val="0"/>
      </w:pPr>
      <w:r w:rsidRPr="007F041D">
        <w:t>For myeloid and/or lymphoid neoplasms with eosinophilia: Testing or analysis confirming JAK2 rearrangement</w:t>
      </w:r>
    </w:p>
    <w:p w14:paraId="50A38FBA" w14:textId="527AF284" w:rsidR="00FE0C63" w:rsidRPr="00E52E54" w:rsidRDefault="00EB22F1" w:rsidP="00E050E1">
      <w:pPr>
        <w:pStyle w:val="Heading2"/>
      </w:pPr>
      <w:r w:rsidRPr="00E52E54">
        <w:t xml:space="preserve">Coverage </w:t>
      </w:r>
      <w:r w:rsidR="00ED3B13" w:rsidRPr="00E52E54">
        <w:t>Criteria</w:t>
      </w:r>
    </w:p>
    <w:p w14:paraId="0C4BBB53" w14:textId="170BE007" w:rsidR="004627D2" w:rsidRPr="00E52E54" w:rsidRDefault="004627D2" w:rsidP="004627D2">
      <w:pPr>
        <w:pStyle w:val="Heading3"/>
      </w:pPr>
      <w:r w:rsidRPr="00E52E54">
        <w:t>Myelofibrosis</w:t>
      </w:r>
      <w:r w:rsidRPr="00E52E54">
        <w:rPr>
          <w:vertAlign w:val="superscript"/>
        </w:rPr>
        <w:t>1,2</w:t>
      </w:r>
    </w:p>
    <w:p w14:paraId="4775B433" w14:textId="619F6D9E" w:rsidR="004627D2" w:rsidRPr="00E52E54" w:rsidRDefault="004627D2" w:rsidP="004627D2">
      <w:pPr>
        <w:pStyle w:val="BodyText"/>
      </w:pPr>
      <w:r w:rsidRPr="00E52E54">
        <w:t>Authorization of 12 months may be granted for the treatment of myelofibrosis.</w:t>
      </w:r>
    </w:p>
    <w:p w14:paraId="098EDA81" w14:textId="3C3D2ACE" w:rsidR="004627D2" w:rsidRPr="00E52E54" w:rsidRDefault="004627D2" w:rsidP="004627D2">
      <w:pPr>
        <w:pStyle w:val="Heading3"/>
      </w:pPr>
      <w:r w:rsidRPr="00E52E54">
        <w:t>Accelerated/Blast Phase Myeloproliferative Neoplasms</w:t>
      </w:r>
      <w:r w:rsidRPr="00E52E54">
        <w:rPr>
          <w:vertAlign w:val="superscript"/>
        </w:rPr>
        <w:t>2</w:t>
      </w:r>
    </w:p>
    <w:p w14:paraId="53644028" w14:textId="05E63F80" w:rsidR="004627D2" w:rsidRPr="00E52E54" w:rsidRDefault="004627D2" w:rsidP="004627D2">
      <w:pPr>
        <w:pStyle w:val="BodyText"/>
      </w:pPr>
      <w:r w:rsidRPr="00E52E54">
        <w:t xml:space="preserve">Authorization of 12 months may be granted for the treatment of </w:t>
      </w:r>
      <w:r w:rsidR="007408F6">
        <w:t xml:space="preserve">symptomatic </w:t>
      </w:r>
      <w:r w:rsidRPr="00E52E54">
        <w:t xml:space="preserve">accelerated phase or blast phase myeloproliferative neoplasms when used as a single </w:t>
      </w:r>
      <w:r w:rsidR="00673E8D">
        <w:t xml:space="preserve">agent </w:t>
      </w:r>
      <w:r w:rsidRPr="00E52E54">
        <w:t>or in combination with azacitidine or decitabine.</w:t>
      </w:r>
    </w:p>
    <w:p w14:paraId="47FE3225" w14:textId="119FE39A" w:rsidR="004627D2" w:rsidRPr="00E52E54" w:rsidRDefault="004627D2" w:rsidP="004627D2">
      <w:pPr>
        <w:pStyle w:val="Heading3"/>
      </w:pPr>
      <w:r w:rsidRPr="00E52E54">
        <w:t>Polycythemia Vera</w:t>
      </w:r>
      <w:r w:rsidRPr="00E52E54">
        <w:rPr>
          <w:vertAlign w:val="superscript"/>
        </w:rPr>
        <w:t>1,2</w:t>
      </w:r>
    </w:p>
    <w:p w14:paraId="7DD699B1" w14:textId="03DDB163" w:rsidR="004627D2" w:rsidRPr="00E52E54" w:rsidRDefault="004627D2" w:rsidP="004627D2">
      <w:pPr>
        <w:pStyle w:val="BodyText"/>
      </w:pPr>
      <w:r w:rsidRPr="00E52E54">
        <w:t>Authorization of 12 months may be granted for the treatment of polycythemia vera when any of the following criteria are met:</w:t>
      </w:r>
    </w:p>
    <w:p w14:paraId="2CD31CDA" w14:textId="3D9E239E" w:rsidR="004627D2" w:rsidRPr="007F041D" w:rsidRDefault="004627D2" w:rsidP="007F041D">
      <w:pPr>
        <w:pStyle w:val="ListParagraph"/>
        <w:numPr>
          <w:ilvl w:val="0"/>
          <w:numId w:val="35"/>
        </w:numPr>
        <w:contextualSpacing w:val="0"/>
      </w:pPr>
      <w:r w:rsidRPr="007F041D">
        <w:t>Member has had an inadequate response</w:t>
      </w:r>
      <w:r w:rsidR="00662537">
        <w:t>, loss of response</w:t>
      </w:r>
      <w:r w:rsidRPr="007F041D">
        <w:t xml:space="preserve"> or intolerance to</w:t>
      </w:r>
      <w:r w:rsidR="00662537">
        <w:t xml:space="preserve"> cytoreductive treatment (e.g.,</w:t>
      </w:r>
      <w:r w:rsidRPr="007F041D">
        <w:t xml:space="preserve"> hydroxyurea</w:t>
      </w:r>
      <w:r w:rsidR="00662537">
        <w:t>,</w:t>
      </w:r>
      <w:r w:rsidRPr="007F041D">
        <w:t xml:space="preserve"> peginterferon alfa-2a</w:t>
      </w:r>
      <w:r w:rsidR="00662537">
        <w:t>)</w:t>
      </w:r>
    </w:p>
    <w:p w14:paraId="2E18B410" w14:textId="6AEACA86" w:rsidR="004627D2" w:rsidRPr="007F041D" w:rsidRDefault="004627D2" w:rsidP="007F041D">
      <w:pPr>
        <w:pStyle w:val="ListParagraph"/>
        <w:numPr>
          <w:ilvl w:val="0"/>
          <w:numId w:val="35"/>
        </w:numPr>
        <w:contextualSpacing w:val="0"/>
      </w:pPr>
      <w:r w:rsidRPr="007F041D">
        <w:t>Member has high risk disease</w:t>
      </w:r>
    </w:p>
    <w:p w14:paraId="04C09AAA" w14:textId="01CD2A69" w:rsidR="004627D2" w:rsidRPr="00E52E54" w:rsidRDefault="004627D2" w:rsidP="004627D2">
      <w:pPr>
        <w:pStyle w:val="Heading3"/>
      </w:pPr>
      <w:r w:rsidRPr="00E52E54">
        <w:t>Acute Graft-versus-Host Disease (</w:t>
      </w:r>
      <w:proofErr w:type="spellStart"/>
      <w:r w:rsidRPr="00E52E54">
        <w:t>aGVHD</w:t>
      </w:r>
      <w:proofErr w:type="spellEnd"/>
      <w:r w:rsidRPr="00E52E54">
        <w:t>) or Chronic Graft-versus-Host Disease (</w:t>
      </w:r>
      <w:proofErr w:type="spellStart"/>
      <w:r w:rsidRPr="00E52E54">
        <w:t>cGVHD</w:t>
      </w:r>
      <w:proofErr w:type="spellEnd"/>
      <w:r w:rsidRPr="00E52E54">
        <w:t>)</w:t>
      </w:r>
      <w:r w:rsidRPr="00E52E54">
        <w:rPr>
          <w:vertAlign w:val="superscript"/>
        </w:rPr>
        <w:t>1,2</w:t>
      </w:r>
      <w:r w:rsidR="00391938">
        <w:rPr>
          <w:vertAlign w:val="superscript"/>
        </w:rPr>
        <w:t>,</w:t>
      </w:r>
      <w:r w:rsidR="00D10FB5">
        <w:rPr>
          <w:vertAlign w:val="superscript"/>
        </w:rPr>
        <w:t>8</w:t>
      </w:r>
    </w:p>
    <w:p w14:paraId="6BFA1EDB" w14:textId="51B5CD81" w:rsidR="004627D2" w:rsidRPr="00E52E54" w:rsidRDefault="004627D2" w:rsidP="004627D2">
      <w:pPr>
        <w:pStyle w:val="BodyText"/>
      </w:pPr>
      <w:r w:rsidRPr="00E52E54">
        <w:t>Authorization of 12 months may be granted for the treatment of graft-vs-host disease</w:t>
      </w:r>
      <w:r w:rsidR="00DB5DC8">
        <w:t xml:space="preserve"> </w:t>
      </w:r>
      <w:r w:rsidR="00662537">
        <w:t>when used in combination with systemic corticosteroids and</w:t>
      </w:r>
      <w:r w:rsidRPr="00E52E54">
        <w:t xml:space="preserve"> any of the following criteria are met:</w:t>
      </w:r>
    </w:p>
    <w:p w14:paraId="757EB31D" w14:textId="121C3B09" w:rsidR="004627D2" w:rsidRPr="007F041D" w:rsidRDefault="004627D2" w:rsidP="007F041D">
      <w:pPr>
        <w:pStyle w:val="ListParagraph"/>
        <w:numPr>
          <w:ilvl w:val="0"/>
          <w:numId w:val="36"/>
        </w:numPr>
        <w:contextualSpacing w:val="0"/>
      </w:pPr>
      <w:r w:rsidRPr="007F041D">
        <w:t>Member has steroid-refractory</w:t>
      </w:r>
      <w:r w:rsidR="0073288E">
        <w:t xml:space="preserve"> </w:t>
      </w:r>
      <w:r w:rsidRPr="007F041D">
        <w:t>acute GVHD</w:t>
      </w:r>
      <w:r w:rsidR="00ED0B3B">
        <w:t xml:space="preserve"> (e.g.,</w:t>
      </w:r>
      <w:r w:rsidR="00ED0B3B" w:rsidRPr="0073288E">
        <w:t xml:space="preserve"> </w:t>
      </w:r>
      <w:r w:rsidR="00ED0B3B">
        <w:t>progressed within 3 days or did not improve within 7 consecutive days of treatment with prednisone 2 mg/kg/day or equivalent)</w:t>
      </w:r>
      <w:r w:rsidR="00662537">
        <w:t xml:space="preserve"> or</w:t>
      </w:r>
    </w:p>
    <w:p w14:paraId="587006B4" w14:textId="60119059" w:rsidR="004627D2" w:rsidRPr="007F041D" w:rsidRDefault="004627D2" w:rsidP="007F041D">
      <w:pPr>
        <w:pStyle w:val="ListParagraph"/>
        <w:numPr>
          <w:ilvl w:val="0"/>
          <w:numId w:val="36"/>
        </w:numPr>
        <w:contextualSpacing w:val="0"/>
      </w:pPr>
      <w:r w:rsidRPr="007F041D">
        <w:t>Member has chronic GVHD and has failed at least one prior line of systemic therapy</w:t>
      </w:r>
    </w:p>
    <w:p w14:paraId="5CBE0799" w14:textId="07271219" w:rsidR="004627D2" w:rsidRPr="00E52E54" w:rsidRDefault="004627D2" w:rsidP="004627D2">
      <w:pPr>
        <w:pStyle w:val="Heading3"/>
      </w:pPr>
      <w:r w:rsidRPr="00E52E54">
        <w:t>Acute Lymphoblastic Leukemia (ALL)/Lymphoblastic Lymphoma (LL)</w:t>
      </w:r>
      <w:r w:rsidRPr="00E52E54">
        <w:rPr>
          <w:vertAlign w:val="superscript"/>
        </w:rPr>
        <w:t>2,6</w:t>
      </w:r>
      <w:r w:rsidR="00032F95">
        <w:rPr>
          <w:vertAlign w:val="superscript"/>
        </w:rPr>
        <w:t>,</w:t>
      </w:r>
      <w:r w:rsidR="001A5473">
        <w:rPr>
          <w:vertAlign w:val="superscript"/>
        </w:rPr>
        <w:t>7</w:t>
      </w:r>
    </w:p>
    <w:p w14:paraId="1D523BE8" w14:textId="1CDB9C7F" w:rsidR="004627D2" w:rsidRPr="00E52E54" w:rsidRDefault="004627D2" w:rsidP="004627D2">
      <w:pPr>
        <w:pStyle w:val="BodyText"/>
      </w:pPr>
      <w:r w:rsidRPr="00E52E54">
        <w:t>Authorization of 12 months may be granted for the treatment of Ph-like B-cell acute lymphoblastic leukemia/lymphoblastic lymphoma for members with either a cytokine receptor-like factor 2 (CRLF2) mutation or a mutation associated with activation of the Janus kinase/signal transducers and activators of transcription (JAK/STAT) pathway.</w:t>
      </w:r>
    </w:p>
    <w:p w14:paraId="76D0FAFC" w14:textId="4778E1E8" w:rsidR="004627D2" w:rsidRPr="00E52E54" w:rsidRDefault="004627D2" w:rsidP="004627D2">
      <w:pPr>
        <w:pStyle w:val="Heading3"/>
      </w:pPr>
      <w:r w:rsidRPr="00E52E54">
        <w:t>Chronic Myelomonocytic Leukemia (CMML)</w:t>
      </w:r>
      <w:r w:rsidR="00EB22F1" w:rsidRPr="00E52E54">
        <w:t>-2</w:t>
      </w:r>
      <w:r w:rsidR="00EB22F1" w:rsidRPr="00E52E54">
        <w:rPr>
          <w:vertAlign w:val="superscript"/>
        </w:rPr>
        <w:t>2</w:t>
      </w:r>
    </w:p>
    <w:p w14:paraId="1EF1DFDD" w14:textId="300F78C6" w:rsidR="004627D2" w:rsidRPr="00E52E54" w:rsidRDefault="004627D2" w:rsidP="004627D2">
      <w:pPr>
        <w:pStyle w:val="BodyText"/>
      </w:pPr>
      <w:r w:rsidRPr="00E52E54">
        <w:t xml:space="preserve">Authorization of 12 months may be granted for the treatment of </w:t>
      </w:r>
      <w:r w:rsidR="00E35821">
        <w:t xml:space="preserve">symptomatic </w:t>
      </w:r>
      <w:r w:rsidRPr="00E52E54">
        <w:t>chronic myelomonocytic leukemia (CMML)-2 in combination with a hypomethylating agent</w:t>
      </w:r>
      <w:r w:rsidR="00A80D00">
        <w:t xml:space="preserve"> </w:t>
      </w:r>
      <w:r w:rsidR="00A80D00">
        <w:rPr>
          <w:rFonts w:eastAsia="Arial"/>
        </w:rPr>
        <w:t xml:space="preserve">(e.g., </w:t>
      </w:r>
      <w:r w:rsidR="00A80D00" w:rsidRPr="00632A36">
        <w:rPr>
          <w:rFonts w:eastAsia="Arial"/>
        </w:rPr>
        <w:t>azacitidine</w:t>
      </w:r>
      <w:r w:rsidR="00A80D00">
        <w:rPr>
          <w:rFonts w:eastAsia="Arial"/>
        </w:rPr>
        <w:t xml:space="preserve">, </w:t>
      </w:r>
      <w:r w:rsidR="00A80D00" w:rsidRPr="00632A36">
        <w:rPr>
          <w:rFonts w:eastAsia="Arial"/>
        </w:rPr>
        <w:t>decitabine</w:t>
      </w:r>
      <w:r w:rsidR="00A80D00">
        <w:rPr>
          <w:rFonts w:eastAsia="Arial"/>
        </w:rPr>
        <w:t>)</w:t>
      </w:r>
      <w:r w:rsidR="00A80D00" w:rsidRPr="00632A36">
        <w:rPr>
          <w:rFonts w:eastAsia="Arial"/>
        </w:rPr>
        <w:t>.</w:t>
      </w:r>
    </w:p>
    <w:p w14:paraId="4025D24A" w14:textId="586311E6" w:rsidR="004627D2" w:rsidRPr="00E52E54" w:rsidRDefault="008704C9" w:rsidP="004627D2">
      <w:pPr>
        <w:pStyle w:val="Heading3"/>
      </w:pPr>
      <w:r w:rsidRPr="008704C9">
        <w:t>T-Cell Large Granular Lymphocytic Leukemia or T-Cell Prolymphocytic Leukemia</w:t>
      </w:r>
      <w:r w:rsidR="004627D2" w:rsidRPr="00E52E54">
        <w:rPr>
          <w:vertAlign w:val="superscript"/>
        </w:rPr>
        <w:t>2</w:t>
      </w:r>
    </w:p>
    <w:p w14:paraId="7705EA96" w14:textId="6BB27E77" w:rsidR="004627D2" w:rsidRPr="00E52E54" w:rsidRDefault="004E485C" w:rsidP="004627D2">
      <w:pPr>
        <w:pStyle w:val="BodyText"/>
      </w:pPr>
      <w:r w:rsidRPr="004E485C">
        <w:t>Authorization of 12 months may be granted for the subsequent treatment of T-cell large granular lymphocytic leukemia or symptomatic T-cell prolymphocytic leukemia, as a single agent</w:t>
      </w:r>
      <w:r w:rsidR="004627D2" w:rsidRPr="00E52E54">
        <w:t>.</w:t>
      </w:r>
    </w:p>
    <w:p w14:paraId="390564B8" w14:textId="758B891A" w:rsidR="004627D2" w:rsidRPr="00E52E54" w:rsidRDefault="004627D2" w:rsidP="004627D2">
      <w:pPr>
        <w:pStyle w:val="Heading3"/>
      </w:pPr>
      <w:r w:rsidRPr="00E52E54">
        <w:t>Myelodysplastic/Myeloproliferative Neoplasms (MDS/MPN) with Neutrophilia</w:t>
      </w:r>
      <w:r w:rsidRPr="00E52E54">
        <w:rPr>
          <w:vertAlign w:val="superscript"/>
        </w:rPr>
        <w:t>2</w:t>
      </w:r>
    </w:p>
    <w:p w14:paraId="3EE2AADB" w14:textId="6616D88F" w:rsidR="00146815" w:rsidRDefault="004627D2" w:rsidP="004627D2">
      <w:pPr>
        <w:pStyle w:val="BodyText"/>
      </w:pPr>
      <w:r w:rsidRPr="00E52E54">
        <w:t xml:space="preserve">Authorization of 12 months may be granted for the treatment of MDS/MPN with neutrophilia </w:t>
      </w:r>
      <w:r w:rsidR="00146815">
        <w:t>when all of the following are met:</w:t>
      </w:r>
    </w:p>
    <w:p w14:paraId="52FF617D" w14:textId="7798B872" w:rsidR="004627D2" w:rsidRDefault="00146815" w:rsidP="00146815">
      <w:pPr>
        <w:pStyle w:val="ListParagraph"/>
        <w:numPr>
          <w:ilvl w:val="0"/>
          <w:numId w:val="35"/>
        </w:numPr>
        <w:contextualSpacing w:val="0"/>
      </w:pPr>
      <w:r>
        <w:t xml:space="preserve">Requested medication will be used </w:t>
      </w:r>
      <w:r w:rsidR="004627D2" w:rsidRPr="00E52E54">
        <w:t>as a single agent or in combination with a hypomethylating agent</w:t>
      </w:r>
      <w:r>
        <w:t>, AND</w:t>
      </w:r>
    </w:p>
    <w:p w14:paraId="4A52EDE3" w14:textId="306C2C12" w:rsidR="00146815" w:rsidRPr="00E52E54" w:rsidRDefault="00146815" w:rsidP="006701B5">
      <w:pPr>
        <w:pStyle w:val="ListParagraph"/>
        <w:numPr>
          <w:ilvl w:val="0"/>
          <w:numId w:val="35"/>
        </w:numPr>
        <w:contextualSpacing w:val="0"/>
      </w:pPr>
      <w:r>
        <w:t>Member is</w:t>
      </w:r>
      <w:r w:rsidRPr="00146815">
        <w:t xml:space="preserve"> </w:t>
      </w:r>
      <w:r w:rsidRPr="007F041D">
        <w:t>JAK2</w:t>
      </w:r>
      <w:r>
        <w:t xml:space="preserve"> mutation or CSF3R mutation positive.</w:t>
      </w:r>
    </w:p>
    <w:p w14:paraId="2A4BE415" w14:textId="0830163F" w:rsidR="004627D2" w:rsidRPr="00E52E54" w:rsidRDefault="004627D2" w:rsidP="004627D2">
      <w:pPr>
        <w:pStyle w:val="Heading3"/>
      </w:pPr>
      <w:r w:rsidRPr="00E52E54">
        <w:t>Essential Thrombocythemia</w:t>
      </w:r>
      <w:r w:rsidRPr="00E52E54">
        <w:rPr>
          <w:vertAlign w:val="superscript"/>
        </w:rPr>
        <w:t>2</w:t>
      </w:r>
    </w:p>
    <w:p w14:paraId="28CC531A" w14:textId="7F227CD7" w:rsidR="004627D2" w:rsidRPr="00E52E54" w:rsidRDefault="004627D2" w:rsidP="004627D2">
      <w:pPr>
        <w:pStyle w:val="BodyText"/>
      </w:pPr>
      <w:r w:rsidRPr="00E52E54">
        <w:t>Authorization of 12 months may be granted for the treatment of essential thrombocythemia in members who have had an inadequate response or loss of response to hydroxyurea, peginterferon alfa-2a, or anagrelide.</w:t>
      </w:r>
    </w:p>
    <w:p w14:paraId="419CE71C" w14:textId="6157B217" w:rsidR="004627D2" w:rsidRPr="00E52E54" w:rsidRDefault="004627D2" w:rsidP="004627D2">
      <w:pPr>
        <w:pStyle w:val="Heading3"/>
      </w:pPr>
      <w:r w:rsidRPr="00E52E54">
        <w:t>Myeloid/Lymphoid Neoplasms with Eosinophilia</w:t>
      </w:r>
      <w:r w:rsidRPr="00E52E54">
        <w:rPr>
          <w:vertAlign w:val="superscript"/>
        </w:rPr>
        <w:t>2</w:t>
      </w:r>
    </w:p>
    <w:p w14:paraId="2A86CDFD" w14:textId="5780D755" w:rsidR="004627D2" w:rsidRPr="00E52E54" w:rsidRDefault="004627D2" w:rsidP="004627D2">
      <w:pPr>
        <w:pStyle w:val="BodyText"/>
      </w:pPr>
      <w:r w:rsidRPr="00E52E54">
        <w:t>Authorization of 12 months may be granted for the treatment of myeloid and/or lymphoid neoplasms with eosinophilia and JAK2 rearrangement in the chronic phase or blast phase.</w:t>
      </w:r>
    </w:p>
    <w:p w14:paraId="10993542" w14:textId="04D1BD1C" w:rsidR="004627D2" w:rsidRPr="00E52E54" w:rsidRDefault="004627D2" w:rsidP="004627D2">
      <w:pPr>
        <w:pStyle w:val="Heading3"/>
      </w:pPr>
      <w:r w:rsidRPr="00E52E54">
        <w:t>Cytokine Release Syndrome</w:t>
      </w:r>
      <w:r w:rsidRPr="00E52E54">
        <w:rPr>
          <w:vertAlign w:val="superscript"/>
        </w:rPr>
        <w:t>2</w:t>
      </w:r>
    </w:p>
    <w:p w14:paraId="7FBDA28E" w14:textId="18C4CDBA" w:rsidR="004627D2" w:rsidRPr="00E52E54" w:rsidRDefault="004627D2" w:rsidP="004627D2">
      <w:pPr>
        <w:pStyle w:val="BodyText"/>
      </w:pPr>
      <w:r w:rsidRPr="00E52E54">
        <w:t>Authorization of 1 month may be granted for treatment of chimeric antigen receptor (CAR) T-cell-induced cytokine release syndrome that is refractory to high-dose corticosteroids and anti-IL-6 therapy.</w:t>
      </w:r>
    </w:p>
    <w:p w14:paraId="5093927E" w14:textId="59EB03D6" w:rsidR="003F4E45" w:rsidRPr="00E52E54" w:rsidRDefault="00662537" w:rsidP="004627D2">
      <w:pPr>
        <w:pStyle w:val="Heading3"/>
      </w:pPr>
      <w:r w:rsidRPr="006701B5">
        <w:t>Immune Checkpoint Inhibitor-Related Toxicities</w:t>
      </w:r>
      <w:r w:rsidR="004627D2" w:rsidRPr="00662537">
        <w:rPr>
          <w:vertAlign w:val="superscript"/>
        </w:rPr>
        <w:t>2</w:t>
      </w:r>
    </w:p>
    <w:p w14:paraId="029C417B" w14:textId="27FF1FE1" w:rsidR="003F4E45" w:rsidRDefault="004627D2" w:rsidP="00E35821">
      <w:pPr>
        <w:pStyle w:val="BodyText"/>
      </w:pPr>
      <w:r w:rsidRPr="00E35821">
        <w:t>Authorization of 1 month may be granted for treatment of immune checkpoint inhibitor-related concomitant myositis and myocarditis when requested agent is used in combination with abatacept.</w:t>
      </w:r>
    </w:p>
    <w:p w14:paraId="0C40C41F" w14:textId="417B1EB2" w:rsidR="00E35821" w:rsidRPr="00E35821" w:rsidRDefault="003F4E45" w:rsidP="00E35821">
      <w:pPr>
        <w:pStyle w:val="BodyText"/>
      </w:pPr>
      <w:r w:rsidRPr="00E35821">
        <w:t xml:space="preserve">Authorization of 1 month may be granted for treatment of </w:t>
      </w:r>
      <w:r w:rsidRPr="006701B5">
        <w:t xml:space="preserve">hemophagocytic </w:t>
      </w:r>
      <w:proofErr w:type="spellStart"/>
      <w:r w:rsidRPr="006701B5">
        <w:t>lymphohistiocytosis</w:t>
      </w:r>
      <w:proofErr w:type="spellEnd"/>
      <w:r w:rsidRPr="006701B5">
        <w:t>-like syndrome</w:t>
      </w:r>
      <w:r w:rsidR="00F0132E">
        <w:t xml:space="preserve"> i</w:t>
      </w:r>
      <w:r w:rsidRPr="006701B5">
        <w:t xml:space="preserve">f member has not responded to </w:t>
      </w:r>
      <w:r>
        <w:t xml:space="preserve">five days of </w:t>
      </w:r>
      <w:r w:rsidRPr="006701B5">
        <w:t>corticosteroids.</w:t>
      </w:r>
    </w:p>
    <w:p w14:paraId="3A643EC3" w14:textId="39AA9A3C" w:rsidR="00A501AC" w:rsidRPr="00E52E54" w:rsidRDefault="00A501AC" w:rsidP="00A501AC">
      <w:pPr>
        <w:pStyle w:val="Heading2"/>
      </w:pPr>
      <w:r w:rsidRPr="00E52E54">
        <w:t>Continuation of Therapy</w:t>
      </w:r>
    </w:p>
    <w:p w14:paraId="34C6AFD6" w14:textId="308A2DE0" w:rsidR="00D87362" w:rsidRPr="00E52E54" w:rsidRDefault="00D87362" w:rsidP="00D87362">
      <w:pPr>
        <w:pStyle w:val="Heading3"/>
      </w:pPr>
      <w:r w:rsidRPr="00E52E54">
        <w:t>Myelofibrosis, Accelerated/Blast Phase Myeloproliferative Neoplasms, Polycythemia Vera, Acute GVHD, Chronic GVHD, and Essential Thrombocythemia</w:t>
      </w:r>
    </w:p>
    <w:p w14:paraId="56425375" w14:textId="400EC005" w:rsidR="00D87362" w:rsidRPr="00E52E54" w:rsidRDefault="00D87362" w:rsidP="00553DC3">
      <w:pPr>
        <w:pStyle w:val="BodyText"/>
      </w:pPr>
      <w:r w:rsidRPr="00E52E54">
        <w:t>Authorization of 12 months may be granted for continued treatment in members requesting reauthorization who have improvement in symptoms and no unacceptable toxicity.</w:t>
      </w:r>
    </w:p>
    <w:p w14:paraId="49889ED9" w14:textId="45AC501D" w:rsidR="00D87362" w:rsidRPr="00E52E54" w:rsidRDefault="00D87362" w:rsidP="00D87362">
      <w:pPr>
        <w:pStyle w:val="Heading3"/>
      </w:pPr>
      <w:r w:rsidRPr="00E52E54">
        <w:t xml:space="preserve">Acute Lymphoblastic Leukemia (ALL)/Lymphoblastic Lymphoma (LL), Myelodysplastic/Myeloproliferative Neoplasms (MDS/MPN) with Neutrophilia, Chronic Myelomonocytic Leukemia (CMML)-2, </w:t>
      </w:r>
      <w:r w:rsidR="00BC7B12" w:rsidRPr="00BC7B12">
        <w:t>T-Cell Large Granular Lymphocytic Leukemia</w:t>
      </w:r>
      <w:r w:rsidRPr="00E52E54">
        <w:t>, and Myeloid/Lymphoid Neoplasms with Eosinophilia</w:t>
      </w:r>
    </w:p>
    <w:p w14:paraId="31071197" w14:textId="7C3BDF07" w:rsidR="00D87362" w:rsidRPr="00E52E54" w:rsidRDefault="00D87362" w:rsidP="00553DC3">
      <w:pPr>
        <w:pStyle w:val="BodyText"/>
      </w:pPr>
      <w:r w:rsidRPr="00E52E54">
        <w:t>Authorization of 12 months may be granted for continued treatment in members requesting reauthorization when there is no evidence of unacceptable toxicity or disease progression while on the current regimen.</w:t>
      </w:r>
    </w:p>
    <w:p w14:paraId="773A9483" w14:textId="7E8A2FCA" w:rsidR="00D87362" w:rsidRPr="00E52E54" w:rsidRDefault="00D87362" w:rsidP="00D87362">
      <w:pPr>
        <w:pStyle w:val="Heading3"/>
      </w:pPr>
      <w:r w:rsidRPr="00E52E54">
        <w:t xml:space="preserve">Cytokine Release Syndrome and </w:t>
      </w:r>
      <w:r w:rsidR="003F4E45" w:rsidRPr="00C16092">
        <w:t>Immune Checkpoint Inhibitor-Related Toxicities</w:t>
      </w:r>
    </w:p>
    <w:p w14:paraId="1D604A72" w14:textId="05037AE1" w:rsidR="00D87362" w:rsidRPr="00E52E54" w:rsidRDefault="00D87362" w:rsidP="00553DC3">
      <w:pPr>
        <w:pStyle w:val="BodyText"/>
      </w:pPr>
      <w:r w:rsidRPr="00E52E54">
        <w:t xml:space="preserve">All members (including new members) requesting authorization for continuation of therapy must meet all </w:t>
      </w:r>
      <w:r w:rsidR="005C4C5F">
        <w:t xml:space="preserve">requirements in the coverage </w:t>
      </w:r>
      <w:r w:rsidRPr="00E52E54">
        <w:t>criteria</w:t>
      </w:r>
      <w:r w:rsidR="005C4C5F">
        <w:t xml:space="preserve"> section</w:t>
      </w:r>
      <w:r w:rsidRPr="00E52E54">
        <w:t>.</w:t>
      </w:r>
    </w:p>
    <w:p w14:paraId="0A275F8B" w14:textId="4FF6CBA5" w:rsidR="000E0438" w:rsidRPr="00E52E54" w:rsidRDefault="000E0438" w:rsidP="000E0438">
      <w:pPr>
        <w:pStyle w:val="Heading2"/>
      </w:pPr>
      <w:bookmarkStart w:id="0" w:name="S2.2"/>
      <w:bookmarkStart w:id="1" w:name="section-2.2"/>
      <w:bookmarkStart w:id="2" w:name="section-2.2.1"/>
      <w:bookmarkStart w:id="3" w:name="section-2.2.2"/>
      <w:bookmarkEnd w:id="0"/>
      <w:bookmarkEnd w:id="1"/>
      <w:bookmarkEnd w:id="2"/>
      <w:bookmarkEnd w:id="3"/>
      <w:r w:rsidRPr="00E52E54">
        <w:t>References</w:t>
      </w:r>
    </w:p>
    <w:p w14:paraId="160027BD" w14:textId="01235D2B" w:rsidR="005E5BB9" w:rsidRPr="00E52E54" w:rsidRDefault="005E5BB9" w:rsidP="007F041D">
      <w:pPr>
        <w:pStyle w:val="ReferenceOrdered"/>
        <w:rPr>
          <w:lang w:val="en-IN" w:eastAsia="en-IN"/>
        </w:rPr>
      </w:pPr>
      <w:r w:rsidRPr="00E52E54">
        <w:rPr>
          <w:lang w:eastAsia="en-IN"/>
        </w:rPr>
        <w:t>Jakafi [package insert]. Wilmington, DE: Incyte Corporation; January 2023.</w:t>
      </w:r>
    </w:p>
    <w:p w14:paraId="1F01364F" w14:textId="5FB61EBD" w:rsidR="005E5BB9" w:rsidRPr="00E52E54" w:rsidRDefault="005E5BB9" w:rsidP="007F041D">
      <w:pPr>
        <w:pStyle w:val="ReferenceOrdered"/>
        <w:rPr>
          <w:lang w:eastAsia="en-IN"/>
        </w:rPr>
      </w:pPr>
      <w:r w:rsidRPr="00E52E54">
        <w:rPr>
          <w:lang w:eastAsia="en-IN"/>
        </w:rPr>
        <w:t xml:space="preserve">The NCCN Drugs &amp; Biologics Compendium® © </w:t>
      </w:r>
      <w:r w:rsidR="009D548D" w:rsidRPr="00E52E54">
        <w:rPr>
          <w:lang w:eastAsia="en-IN"/>
        </w:rPr>
        <w:t>202</w:t>
      </w:r>
      <w:r w:rsidR="009D548D">
        <w:rPr>
          <w:lang w:eastAsia="en-IN"/>
        </w:rPr>
        <w:t>5</w:t>
      </w:r>
      <w:r w:rsidR="009D548D" w:rsidRPr="00E52E54">
        <w:rPr>
          <w:lang w:eastAsia="en-IN"/>
        </w:rPr>
        <w:t xml:space="preserve"> </w:t>
      </w:r>
      <w:r w:rsidRPr="00E52E54">
        <w:rPr>
          <w:lang w:eastAsia="en-IN"/>
        </w:rPr>
        <w:t xml:space="preserve">National Comprehensive Cancer Network, Inc. Available at: http://www.nccn.org. Accessed </w:t>
      </w:r>
      <w:r w:rsidR="009D548D">
        <w:rPr>
          <w:lang w:eastAsia="en-IN"/>
        </w:rPr>
        <w:t>January 7</w:t>
      </w:r>
      <w:r w:rsidRPr="00E52E54">
        <w:rPr>
          <w:lang w:eastAsia="en-IN"/>
        </w:rPr>
        <w:t xml:space="preserve">, </w:t>
      </w:r>
      <w:r w:rsidR="009D548D" w:rsidRPr="00E52E54">
        <w:rPr>
          <w:lang w:eastAsia="en-IN"/>
        </w:rPr>
        <w:t>202</w:t>
      </w:r>
      <w:r w:rsidR="009D548D">
        <w:rPr>
          <w:lang w:eastAsia="en-IN"/>
        </w:rPr>
        <w:t>5</w:t>
      </w:r>
      <w:r w:rsidRPr="00E52E54">
        <w:rPr>
          <w:lang w:eastAsia="en-IN"/>
        </w:rPr>
        <w:t>.</w:t>
      </w:r>
    </w:p>
    <w:p w14:paraId="0C8D3477" w14:textId="45C3885C" w:rsidR="005E5BB9" w:rsidRPr="00E52E54" w:rsidRDefault="005E5BB9" w:rsidP="007F041D">
      <w:pPr>
        <w:pStyle w:val="ReferenceOrdered"/>
        <w:rPr>
          <w:lang w:eastAsia="en-IN"/>
        </w:rPr>
      </w:pPr>
      <w:r w:rsidRPr="00E52E54">
        <w:rPr>
          <w:lang w:eastAsia="en-IN"/>
        </w:rPr>
        <w:t xml:space="preserve">Zeiser R, Burchert A, </w:t>
      </w:r>
      <w:proofErr w:type="spellStart"/>
      <w:r w:rsidRPr="00E52E54">
        <w:rPr>
          <w:lang w:eastAsia="en-IN"/>
        </w:rPr>
        <w:t>Lengerke</w:t>
      </w:r>
      <w:proofErr w:type="spellEnd"/>
      <w:r w:rsidRPr="00E52E54">
        <w:rPr>
          <w:lang w:eastAsia="en-IN"/>
        </w:rPr>
        <w:t xml:space="preserve"> C, et al: Ruxolitinib in corticosteroid-refractory graft-versus-host disease after allogeneic stem cell transplantation: a multicenter survey. Leukemia 2015; 29(10):2062-2068.</w:t>
      </w:r>
    </w:p>
    <w:p w14:paraId="202282D0" w14:textId="7F5A383C" w:rsidR="005E5BB9" w:rsidRPr="00E52E54" w:rsidRDefault="005E5BB9" w:rsidP="007F041D">
      <w:pPr>
        <w:pStyle w:val="ReferenceOrdered"/>
        <w:rPr>
          <w:lang w:eastAsia="en-IN"/>
        </w:rPr>
      </w:pPr>
      <w:r w:rsidRPr="00E52E54">
        <w:rPr>
          <w:lang w:eastAsia="en-IN"/>
        </w:rPr>
        <w:t xml:space="preserve">Zeiser R, Burchert A, </w:t>
      </w:r>
      <w:proofErr w:type="spellStart"/>
      <w:r w:rsidRPr="00E52E54">
        <w:rPr>
          <w:lang w:eastAsia="en-IN"/>
        </w:rPr>
        <w:t>Lengerke</w:t>
      </w:r>
      <w:proofErr w:type="spellEnd"/>
      <w:r w:rsidRPr="00E52E54">
        <w:rPr>
          <w:lang w:eastAsia="en-IN"/>
        </w:rPr>
        <w:t xml:space="preserve"> C, et al: Long-term follow-up of patients with corticosteroid-refractory graft-versus-host disease treated with ruxolitinib. Blood 2016; 128(22):4561</w:t>
      </w:r>
    </w:p>
    <w:p w14:paraId="67012746" w14:textId="7952FA53" w:rsidR="005E5BB9" w:rsidRPr="00E52E54" w:rsidRDefault="005E5BB9" w:rsidP="007F041D">
      <w:pPr>
        <w:pStyle w:val="ReferenceOrdered"/>
        <w:rPr>
          <w:lang w:eastAsia="en-IN"/>
        </w:rPr>
      </w:pPr>
      <w:r w:rsidRPr="00E52E54">
        <w:rPr>
          <w:lang w:eastAsia="en-IN"/>
        </w:rPr>
        <w:t>Raetz Elizabeth, Loh Mignon. A Phase 2 Study of the JAK1/JAK2 Inhibitor Ruxolitinib with Chemotherapy in Children with De Novo High-Risk CRLF2-Rearranged and/or JAK Pathway-Mutant Acute Lymphoblastic Leukemia. American Society of Hematology. 2016: 13(3).</w:t>
      </w:r>
    </w:p>
    <w:p w14:paraId="324C8DBC" w14:textId="0537B912" w:rsidR="005E5BB9" w:rsidRPr="00E52E54" w:rsidRDefault="005E5BB9" w:rsidP="007F041D">
      <w:pPr>
        <w:pStyle w:val="ReferenceOrdered"/>
        <w:rPr>
          <w:lang w:eastAsia="en-IN"/>
        </w:rPr>
      </w:pPr>
      <w:r w:rsidRPr="00E52E54">
        <w:rPr>
          <w:lang w:eastAsia="en-IN"/>
        </w:rPr>
        <w:t xml:space="preserve">Ding YY, Stern JW, </w:t>
      </w:r>
      <w:proofErr w:type="spellStart"/>
      <w:r w:rsidRPr="00E52E54">
        <w:rPr>
          <w:lang w:eastAsia="en-IN"/>
        </w:rPr>
        <w:t>Jubelirer</w:t>
      </w:r>
      <w:proofErr w:type="spellEnd"/>
      <w:r w:rsidRPr="00E52E54">
        <w:rPr>
          <w:lang w:eastAsia="en-IN"/>
        </w:rPr>
        <w:t xml:space="preserve"> TF, et al. Clinical efficacy of Ruxolitinib and chemotherapy in a child with Philadelphia chromosome-like acute lymphoblastic leukemia with GOLGAS-JAK2 fusion and induction failure. </w:t>
      </w:r>
      <w:proofErr w:type="spellStart"/>
      <w:r w:rsidRPr="00E52E54">
        <w:rPr>
          <w:lang w:eastAsia="en-IN"/>
        </w:rPr>
        <w:t>Haematologica</w:t>
      </w:r>
      <w:proofErr w:type="spellEnd"/>
      <w:r w:rsidRPr="00E52E54">
        <w:rPr>
          <w:lang w:eastAsia="en-IN"/>
        </w:rPr>
        <w:t xml:space="preserve">. 2018 Sep;103(9):e427-e431. </w:t>
      </w:r>
      <w:proofErr w:type="spellStart"/>
      <w:r w:rsidRPr="00E52E54">
        <w:rPr>
          <w:lang w:eastAsia="en-IN"/>
        </w:rPr>
        <w:t>doi</w:t>
      </w:r>
      <w:proofErr w:type="spellEnd"/>
      <w:r w:rsidRPr="00E52E54">
        <w:rPr>
          <w:lang w:eastAsia="en-IN"/>
        </w:rPr>
        <w:t xml:space="preserve">: 10.3324/haematol.2018.192088. </w:t>
      </w:r>
      <w:proofErr w:type="spellStart"/>
      <w:r w:rsidRPr="00E52E54">
        <w:rPr>
          <w:lang w:eastAsia="en-IN"/>
        </w:rPr>
        <w:t>Epub</w:t>
      </w:r>
      <w:proofErr w:type="spellEnd"/>
      <w:r w:rsidRPr="00E52E54">
        <w:rPr>
          <w:lang w:eastAsia="en-IN"/>
        </w:rPr>
        <w:t xml:space="preserve"> 2018 May 17.</w:t>
      </w:r>
    </w:p>
    <w:p w14:paraId="3DE62EF4" w14:textId="2ED0ABA4" w:rsidR="005E5BB9" w:rsidRPr="00E52E54" w:rsidRDefault="005E5BB9" w:rsidP="007F041D">
      <w:pPr>
        <w:pStyle w:val="ReferenceOrdered"/>
        <w:rPr>
          <w:lang w:eastAsia="en-IN"/>
        </w:rPr>
      </w:pPr>
      <w:r w:rsidRPr="00E52E54">
        <w:rPr>
          <w:lang w:eastAsia="en-IN"/>
        </w:rPr>
        <w:t xml:space="preserve">National Comprehensive Cancer Network. NCCN Clinical Practice Guidelines in Oncology: Pediatric Acute Lymphoblastic Leukemia. Available at: http://www.nccn.org. Version </w:t>
      </w:r>
      <w:r w:rsidR="00634162">
        <w:rPr>
          <w:lang w:eastAsia="en-IN"/>
        </w:rPr>
        <w:t>2</w:t>
      </w:r>
      <w:r w:rsidRPr="00E52E54">
        <w:rPr>
          <w:lang w:eastAsia="en-IN"/>
        </w:rPr>
        <w:t>.</w:t>
      </w:r>
      <w:r w:rsidR="00634162" w:rsidRPr="00E52E54">
        <w:rPr>
          <w:lang w:eastAsia="en-IN"/>
        </w:rPr>
        <w:t>202</w:t>
      </w:r>
      <w:r w:rsidR="00634162">
        <w:rPr>
          <w:lang w:eastAsia="en-IN"/>
        </w:rPr>
        <w:t>5</w:t>
      </w:r>
      <w:r w:rsidRPr="00E52E54">
        <w:rPr>
          <w:lang w:eastAsia="en-IN"/>
        </w:rPr>
        <w:t xml:space="preserve">. https://www.nccn.org/professionals/physician_gls/pdf/ped_all.pdf. Accessed January </w:t>
      </w:r>
      <w:r w:rsidR="00634162">
        <w:rPr>
          <w:lang w:eastAsia="en-IN"/>
        </w:rPr>
        <w:t>7</w:t>
      </w:r>
      <w:r w:rsidRPr="00E52E54">
        <w:rPr>
          <w:lang w:eastAsia="en-IN"/>
        </w:rPr>
        <w:t xml:space="preserve">, </w:t>
      </w:r>
      <w:r w:rsidR="00634162" w:rsidRPr="00E52E54">
        <w:rPr>
          <w:lang w:eastAsia="en-IN"/>
        </w:rPr>
        <w:t>202</w:t>
      </w:r>
      <w:r w:rsidR="00634162">
        <w:rPr>
          <w:lang w:eastAsia="en-IN"/>
        </w:rPr>
        <w:t>5</w:t>
      </w:r>
      <w:r w:rsidRPr="00E52E54">
        <w:rPr>
          <w:lang w:eastAsia="en-IN"/>
        </w:rPr>
        <w:t>.</w:t>
      </w:r>
    </w:p>
    <w:p w14:paraId="22224F6A" w14:textId="77777777" w:rsidR="006F3358" w:rsidRDefault="006F3358" w:rsidP="006701B5">
      <w:pPr>
        <w:pStyle w:val="ReferenceOrdered"/>
      </w:pPr>
      <w:r w:rsidRPr="00E52E54">
        <w:rPr>
          <w:lang w:eastAsia="en-IN"/>
        </w:rPr>
        <w:t>National Comprehensive Cancer Network. NCCN Clinical Practice Guidelines in Oncology:</w:t>
      </w:r>
      <w:r w:rsidR="00C11DE3" w:rsidRPr="00C11DE3">
        <w:t xml:space="preserve"> </w:t>
      </w:r>
      <w:r w:rsidR="00C11DE3">
        <w:t>Hematopoietic Cell Transplantation (HCT)</w:t>
      </w:r>
      <w:r w:rsidRPr="00E52E54">
        <w:rPr>
          <w:lang w:eastAsia="en-IN"/>
        </w:rPr>
        <w:t xml:space="preserve">. Available at: http://www.nccn.org. Version </w:t>
      </w:r>
      <w:r>
        <w:rPr>
          <w:lang w:eastAsia="en-IN"/>
        </w:rPr>
        <w:t>2</w:t>
      </w:r>
      <w:r w:rsidRPr="00E52E54">
        <w:rPr>
          <w:lang w:eastAsia="en-IN"/>
        </w:rPr>
        <w:t>.202</w:t>
      </w:r>
      <w:r w:rsidR="00C11DE3">
        <w:rPr>
          <w:lang w:eastAsia="en-IN"/>
        </w:rPr>
        <w:t>4</w:t>
      </w:r>
      <w:r w:rsidRPr="00E52E54">
        <w:rPr>
          <w:lang w:eastAsia="en-IN"/>
        </w:rPr>
        <w:t>.</w:t>
      </w:r>
      <w:r w:rsidR="00C11DE3">
        <w:rPr>
          <w:lang w:eastAsia="en-IN"/>
        </w:rPr>
        <w:t xml:space="preserve"> </w:t>
      </w:r>
      <w:r w:rsidR="00391938" w:rsidRPr="00B577A2">
        <w:rPr>
          <w:lang w:eastAsia="en-IN"/>
        </w:rPr>
        <w:t>https://www.nccn.org/professionals/physician_gls/pdf/hct.pdf</w:t>
      </w:r>
      <w:r w:rsidR="00391938">
        <w:rPr>
          <w:lang w:eastAsia="en-IN"/>
        </w:rPr>
        <w:t xml:space="preserve">. </w:t>
      </w:r>
      <w:r w:rsidR="00C11DE3">
        <w:rPr>
          <w:lang w:eastAsia="en-IN"/>
        </w:rPr>
        <w:t xml:space="preserve">Accessed </w:t>
      </w:r>
      <w:r w:rsidR="00EE457F">
        <w:rPr>
          <w:lang w:eastAsia="en-IN"/>
        </w:rPr>
        <w:t>January 28, 2025.</w:t>
      </w:r>
    </w:p>
    <w:sectPr w:rsidR="006F3358" w:rsidSect="00840146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9A5AD" w14:textId="77777777" w:rsidR="00D15CB1" w:rsidRDefault="00D15CB1">
      <w:r>
        <w:separator/>
      </w:r>
    </w:p>
  </w:endnote>
  <w:endnote w:type="continuationSeparator" w:id="0">
    <w:p w14:paraId="27DB94DF" w14:textId="77777777" w:rsidR="00D15CB1" w:rsidRDefault="00D15CB1">
      <w:r>
        <w:continuationSeparator/>
      </w:r>
    </w:p>
  </w:endnote>
  <w:endnote w:type="continuationNotice" w:id="1">
    <w:p w14:paraId="2AF6596E" w14:textId="77777777" w:rsidR="00D15CB1" w:rsidRDefault="00D15C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A1E4C" w14:textId="015F9923" w:rsidR="00556037" w:rsidRPr="00EC47B6" w:rsidRDefault="00556037" w:rsidP="00556037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E202C" w:rsidRPr="001E202C">
      <w:rPr>
        <w:rFonts w:cs="Arial"/>
        <w:noProof/>
        <w:sz w:val="16"/>
        <w:szCs w:val="16"/>
      </w:rPr>
      <w:t>Jakafi SGM 1999-A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0A43BA" w:rsidRPr="00EC47B6">
      <w:rPr>
        <w:rFonts w:cs="Arial"/>
        <w:snapToGrid w:val="0"/>
        <w:color w:val="000000"/>
        <w:sz w:val="16"/>
      </w:rPr>
      <w:t>202</w:t>
    </w:r>
    <w:r w:rsidR="000A43BA">
      <w:rPr>
        <w:rFonts w:cs="Arial"/>
        <w:snapToGrid w:val="0"/>
        <w:color w:val="000000"/>
        <w:sz w:val="16"/>
      </w:rPr>
      <w:t>5</w:t>
    </w:r>
    <w:r w:rsidR="000A43BA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2669265F" w14:textId="6FCC8830" w:rsidR="00556037" w:rsidRPr="00EC47B6" w:rsidRDefault="00556037" w:rsidP="00556037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1C146AE8" w14:textId="695AEC48" w:rsidR="00556037" w:rsidRPr="00AA1E6A" w:rsidRDefault="00556037" w:rsidP="00740946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C3E47" w14:textId="4203939C" w:rsidR="00556037" w:rsidRPr="00EC47B6" w:rsidRDefault="00556037" w:rsidP="00556037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1E202C" w:rsidRPr="001E202C">
      <w:rPr>
        <w:rFonts w:cs="Arial"/>
        <w:noProof/>
        <w:sz w:val="16"/>
        <w:szCs w:val="16"/>
      </w:rPr>
      <w:t>Jakafi SGM 1999-A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0A43BA" w:rsidRPr="00EC47B6">
      <w:rPr>
        <w:rFonts w:cs="Arial"/>
        <w:snapToGrid w:val="0"/>
        <w:color w:val="000000"/>
        <w:sz w:val="16"/>
      </w:rPr>
      <w:t>202</w:t>
    </w:r>
    <w:r w:rsidR="000A43BA">
      <w:rPr>
        <w:rFonts w:cs="Arial"/>
        <w:snapToGrid w:val="0"/>
        <w:color w:val="000000"/>
        <w:sz w:val="16"/>
      </w:rPr>
      <w:t>5</w:t>
    </w:r>
    <w:r w:rsidR="000A43BA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6FADF6D1" w14:textId="45FC7112" w:rsidR="00556037" w:rsidRPr="00EC47B6" w:rsidRDefault="00556037" w:rsidP="00556037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34F945D7" w14:textId="505A9950" w:rsidR="00556037" w:rsidRPr="00AA1E6A" w:rsidRDefault="00556037" w:rsidP="00740946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6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22D22" w14:textId="71BCE7CE" w:rsidR="00142B75" w:rsidRPr="00E52E54" w:rsidRDefault="00142B75" w:rsidP="00142B75">
    <w:pPr>
      <w:tabs>
        <w:tab w:val="right" w:pos="10710"/>
      </w:tabs>
      <w:spacing w:before="360" w:after="120"/>
      <w:rPr>
        <w:rFonts w:cs="Arial"/>
        <w:snapToGrid w:val="0"/>
        <w:color w:val="000000"/>
        <w:sz w:val="16"/>
      </w:rPr>
    </w:pPr>
    <w:r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>
      <w:rPr>
        <w:rFonts w:cs="Arial"/>
        <w:noProof/>
        <w:snapToGrid w:val="0"/>
        <w:color w:val="000000"/>
        <w:sz w:val="16"/>
        <w:szCs w:val="16"/>
        <w:lang w:val="pt-BR"/>
      </w:rPr>
      <w:instrText xml:space="preserve"> FILENAME  \* FirstCap  \* MERGEFORMAT </w:instrText>
    </w:r>
    <w:r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>
      <w:rPr>
        <w:rFonts w:cs="Arial"/>
        <w:noProof/>
        <w:snapToGrid w:val="0"/>
        <w:color w:val="000000"/>
        <w:sz w:val="16"/>
        <w:szCs w:val="16"/>
        <w:lang w:val="pt-BR"/>
      </w:rPr>
      <w:t xml:space="preserve">Jakafi SGM 1999-A </w:t>
    </w:r>
    <w:r w:rsidR="000A43BA">
      <w:rPr>
        <w:rFonts w:cs="Arial"/>
        <w:noProof/>
        <w:snapToGrid w:val="0"/>
        <w:color w:val="000000"/>
        <w:sz w:val="16"/>
        <w:szCs w:val="16"/>
        <w:lang w:val="pt-BR"/>
      </w:rPr>
      <w:t>2025</w:t>
    </w:r>
    <w:r>
      <w:rPr>
        <w:rFonts w:cs="Arial"/>
        <w:noProof/>
        <w:snapToGrid w:val="0"/>
        <w:color w:val="000000"/>
        <w:sz w:val="16"/>
        <w:szCs w:val="16"/>
        <w:lang w:val="pt-BR"/>
      </w:rPr>
      <w:t>_R.docx</w:t>
    </w:r>
    <w:r>
      <w:rPr>
        <w:rFonts w:cs="Arial"/>
        <w:noProof/>
        <w:snapToGrid w:val="0"/>
        <w:color w:val="000000"/>
        <w:sz w:val="16"/>
        <w:szCs w:val="16"/>
        <w:lang w:val="pt-BR"/>
      </w:rPr>
      <w:fldChar w:fldCharType="end"/>
    </w:r>
    <w:r w:rsidRPr="00E52E54">
      <w:rPr>
        <w:rFonts w:cs="Arial"/>
        <w:snapToGrid w:val="0"/>
        <w:color w:val="000000"/>
        <w:sz w:val="16"/>
      </w:rPr>
      <w:tab/>
      <w:t xml:space="preserve">© </w:t>
    </w:r>
    <w:r w:rsidR="000A43BA" w:rsidRPr="00E52E54">
      <w:rPr>
        <w:rFonts w:cs="Arial"/>
        <w:snapToGrid w:val="0"/>
        <w:color w:val="000000"/>
        <w:sz w:val="16"/>
      </w:rPr>
      <w:t>202</w:t>
    </w:r>
    <w:r w:rsidR="000A43BA">
      <w:rPr>
        <w:rFonts w:cs="Arial"/>
        <w:snapToGrid w:val="0"/>
        <w:color w:val="000000"/>
        <w:sz w:val="16"/>
      </w:rPr>
      <w:t>5</w:t>
    </w:r>
    <w:r w:rsidR="000A43BA" w:rsidRPr="00E52E54">
      <w:rPr>
        <w:rFonts w:cs="Arial"/>
        <w:snapToGrid w:val="0"/>
        <w:color w:val="000000"/>
        <w:sz w:val="16"/>
      </w:rPr>
      <w:t xml:space="preserve"> </w:t>
    </w:r>
    <w:r w:rsidRPr="00E52E54">
      <w:rPr>
        <w:rFonts w:cs="Arial"/>
        <w:snapToGrid w:val="0"/>
        <w:color w:val="000000"/>
        <w:sz w:val="16"/>
      </w:rPr>
      <w:t>CVS Caremark. All rights reserved.</w:t>
    </w:r>
  </w:p>
  <w:p w14:paraId="6F8A6557" w14:textId="00E46C6A" w:rsidR="00142B75" w:rsidRPr="00E52E54" w:rsidRDefault="00142B75" w:rsidP="00142B75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52E54">
      <w:rPr>
        <w:rFonts w:cs="Arial"/>
        <w:sz w:val="16"/>
        <w:szCs w:val="16"/>
      </w:rPr>
      <w:t>This document contains c</w:t>
    </w:r>
    <w:r w:rsidRPr="00E52E54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52E54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52E54">
      <w:rPr>
        <w:rFonts w:cs="Arial"/>
        <w:snapToGrid w:val="0"/>
        <w:sz w:val="16"/>
        <w:szCs w:val="16"/>
      </w:rPr>
      <w:t>CVS Caremark</w:t>
    </w:r>
    <w:r w:rsidRPr="00E52E54">
      <w:rPr>
        <w:rFonts w:cs="Arial"/>
        <w:sz w:val="16"/>
        <w:szCs w:val="16"/>
      </w:rPr>
      <w:t>.</w:t>
    </w:r>
  </w:p>
  <w:p w14:paraId="706D1674" w14:textId="58A953CC" w:rsidR="000F5383" w:rsidRPr="00F50D98" w:rsidRDefault="00142B75" w:rsidP="00740946">
    <w:pPr>
      <w:autoSpaceDE w:val="0"/>
      <w:autoSpaceDN w:val="0"/>
      <w:adjustRightInd w:val="0"/>
      <w:jc w:val="center"/>
      <w:rPr>
        <w:sz w:val="16"/>
        <w:szCs w:val="16"/>
      </w:rPr>
    </w:pPr>
    <w:r w:rsidRPr="00E52E54">
      <w:rPr>
        <w:rFonts w:cs="Arial"/>
        <w:sz w:val="16"/>
        <w:szCs w:val="16"/>
      </w:rPr>
      <w:fldChar w:fldCharType="begin"/>
    </w:r>
    <w:r w:rsidRPr="00E52E54">
      <w:rPr>
        <w:rFonts w:cs="Arial"/>
        <w:sz w:val="16"/>
        <w:szCs w:val="16"/>
      </w:rPr>
      <w:instrText xml:space="preserve"> PAGE </w:instrText>
    </w:r>
    <w:r w:rsidRPr="00E52E54">
      <w:rPr>
        <w:rFonts w:cs="Arial"/>
        <w:sz w:val="16"/>
        <w:szCs w:val="16"/>
      </w:rPr>
      <w:fldChar w:fldCharType="separate"/>
    </w:r>
    <w:r w:rsidRPr="00E52E54">
      <w:rPr>
        <w:rFonts w:cs="Arial"/>
        <w:sz w:val="16"/>
        <w:szCs w:val="16"/>
      </w:rPr>
      <w:t>6</w:t>
    </w:r>
    <w:r w:rsidRPr="00E52E54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29F09" w14:textId="77777777" w:rsidR="00D15CB1" w:rsidRDefault="00D15CB1">
      <w:r>
        <w:separator/>
      </w:r>
    </w:p>
  </w:footnote>
  <w:footnote w:type="continuationSeparator" w:id="0">
    <w:p w14:paraId="32847BC4" w14:textId="77777777" w:rsidR="00D15CB1" w:rsidRDefault="00D15CB1">
      <w:r>
        <w:continuationSeparator/>
      </w:r>
    </w:p>
  </w:footnote>
  <w:footnote w:type="continuationNotice" w:id="1">
    <w:p w14:paraId="7B55A3AC" w14:textId="77777777" w:rsidR="00D15CB1" w:rsidRDefault="00D15C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7C032AF4" w:rsidR="00ED04EC" w:rsidRPr="00556037" w:rsidRDefault="00DA05A8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 w:rsidRPr="00556037">
            <w:rPr>
              <w:rFonts w:cs="Arial"/>
              <w:color w:val="000000" w:themeColor="text1"/>
              <w:sz w:val="16"/>
              <w:szCs w:val="16"/>
            </w:rPr>
            <w:t>1999-A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121DAD" w:rsidRDefault="000F5383" w:rsidP="000F5383">
          <w:pPr>
            <w:pStyle w:val="Header"/>
            <w:rPr>
              <w:rFonts w:cs="Arial"/>
              <w:sz w:val="16"/>
              <w:szCs w:val="16"/>
            </w:rPr>
          </w:pPr>
          <w:r w:rsidRPr="00121DAD">
            <w:rPr>
              <w:rFonts w:cs="Arial"/>
              <w:sz w:val="16"/>
              <w:szCs w:val="16"/>
            </w:rPr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434E0A97" w:rsidR="000F5383" w:rsidRPr="00121DAD" w:rsidRDefault="00556037" w:rsidP="000F5383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1999-A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C0995"/>
    <w:multiLevelType w:val="hybridMultilevel"/>
    <w:tmpl w:val="87D46826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BF0C90"/>
    <w:multiLevelType w:val="hybridMultilevel"/>
    <w:tmpl w:val="38649B6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CF0455"/>
    <w:multiLevelType w:val="hybridMultilevel"/>
    <w:tmpl w:val="D9B8EE0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C71FD"/>
    <w:multiLevelType w:val="hybridMultilevel"/>
    <w:tmpl w:val="94DC561C"/>
    <w:lvl w:ilvl="0" w:tplc="4009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94847"/>
    <w:multiLevelType w:val="hybridMultilevel"/>
    <w:tmpl w:val="2CDE93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C4420B"/>
    <w:multiLevelType w:val="hybridMultilevel"/>
    <w:tmpl w:val="A47A576A"/>
    <w:lvl w:ilvl="0" w:tplc="40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4E887C37"/>
    <w:multiLevelType w:val="hybridMultilevel"/>
    <w:tmpl w:val="1DA489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21D27"/>
    <w:multiLevelType w:val="hybridMultilevel"/>
    <w:tmpl w:val="193451CE"/>
    <w:lvl w:ilvl="0" w:tplc="33B4F5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912E01"/>
    <w:multiLevelType w:val="hybridMultilevel"/>
    <w:tmpl w:val="407ADC0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F027790"/>
    <w:multiLevelType w:val="hybridMultilevel"/>
    <w:tmpl w:val="5D12FB24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5AC0"/>
    <w:multiLevelType w:val="hybridMultilevel"/>
    <w:tmpl w:val="88968632"/>
    <w:lvl w:ilvl="0" w:tplc="33B4F5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934275"/>
    <w:multiLevelType w:val="hybridMultilevel"/>
    <w:tmpl w:val="6A9A1CF6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D27FB7"/>
    <w:multiLevelType w:val="hybridMultilevel"/>
    <w:tmpl w:val="D30E5DD2"/>
    <w:lvl w:ilvl="0" w:tplc="33B4F5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6"/>
  </w:num>
  <w:num w:numId="3" w16cid:durableId="611589570">
    <w:abstractNumId w:val="23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9"/>
  </w:num>
  <w:num w:numId="17" w16cid:durableId="2128498676">
    <w:abstractNumId w:val="30"/>
  </w:num>
  <w:num w:numId="18" w16cid:durableId="299724409">
    <w:abstractNumId w:val="25"/>
  </w:num>
  <w:num w:numId="19" w16cid:durableId="214585573">
    <w:abstractNumId w:val="14"/>
  </w:num>
  <w:num w:numId="20" w16cid:durableId="1066490929">
    <w:abstractNumId w:val="31"/>
  </w:num>
  <w:num w:numId="21" w16cid:durableId="85687372">
    <w:abstractNumId w:val="20"/>
  </w:num>
  <w:num w:numId="22" w16cid:durableId="739593132">
    <w:abstractNumId w:val="21"/>
  </w:num>
  <w:num w:numId="23" w16cid:durableId="972831989">
    <w:abstractNumId w:val="18"/>
  </w:num>
  <w:num w:numId="24" w16cid:durableId="201408636">
    <w:abstractNumId w:val="17"/>
  </w:num>
  <w:num w:numId="25" w16cid:durableId="1407648111">
    <w:abstractNumId w:val="15"/>
  </w:num>
  <w:num w:numId="26" w16cid:durableId="2045052949">
    <w:abstractNumId w:val="22"/>
  </w:num>
  <w:num w:numId="27" w16cid:durableId="723329095">
    <w:abstractNumId w:val="11"/>
  </w:num>
  <w:num w:numId="28" w16cid:durableId="465708830">
    <w:abstractNumId w:val="31"/>
  </w:num>
  <w:num w:numId="29" w16cid:durableId="1107190911">
    <w:abstractNumId w:val="27"/>
  </w:num>
  <w:num w:numId="30" w16cid:durableId="1302734821">
    <w:abstractNumId w:val="29"/>
  </w:num>
  <w:num w:numId="31" w16cid:durableId="580993853">
    <w:abstractNumId w:val="31"/>
  </w:num>
  <w:num w:numId="32" w16cid:durableId="1864711113">
    <w:abstractNumId w:val="31"/>
  </w:num>
  <w:num w:numId="33" w16cid:durableId="528447020">
    <w:abstractNumId w:val="24"/>
  </w:num>
  <w:num w:numId="34" w16cid:durableId="629163682">
    <w:abstractNumId w:val="28"/>
  </w:num>
  <w:num w:numId="35" w16cid:durableId="1221404267">
    <w:abstractNumId w:val="32"/>
  </w:num>
  <w:num w:numId="36" w16cid:durableId="1440180584">
    <w:abstractNumId w:val="33"/>
  </w:num>
  <w:num w:numId="37" w16cid:durableId="949580735">
    <w:abstractNumId w:val="31"/>
  </w:num>
  <w:num w:numId="38" w16cid:durableId="348216433">
    <w:abstractNumId w:val="1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84A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2F95"/>
    <w:rsid w:val="0003572F"/>
    <w:rsid w:val="00036079"/>
    <w:rsid w:val="00037636"/>
    <w:rsid w:val="00037A95"/>
    <w:rsid w:val="00041FAA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ED6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43BA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65F5"/>
    <w:rsid w:val="00117495"/>
    <w:rsid w:val="0011772F"/>
    <w:rsid w:val="001202DD"/>
    <w:rsid w:val="00121BD0"/>
    <w:rsid w:val="00121DAD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2B75"/>
    <w:rsid w:val="0014405C"/>
    <w:rsid w:val="00144137"/>
    <w:rsid w:val="0014413C"/>
    <w:rsid w:val="00144795"/>
    <w:rsid w:val="001448D4"/>
    <w:rsid w:val="00144B23"/>
    <w:rsid w:val="00144BEB"/>
    <w:rsid w:val="00145A96"/>
    <w:rsid w:val="00146815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ECB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473"/>
    <w:rsid w:val="001A55B8"/>
    <w:rsid w:val="001A576D"/>
    <w:rsid w:val="001A57C5"/>
    <w:rsid w:val="001A6053"/>
    <w:rsid w:val="001A740E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3DC3"/>
    <w:rsid w:val="001D4343"/>
    <w:rsid w:val="001D536B"/>
    <w:rsid w:val="001D56F3"/>
    <w:rsid w:val="001D595E"/>
    <w:rsid w:val="001D5AA2"/>
    <w:rsid w:val="001D694B"/>
    <w:rsid w:val="001E0D36"/>
    <w:rsid w:val="001E202C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54BA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5F9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BED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4F5F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E7B7A"/>
    <w:rsid w:val="002F0DB6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C27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9EA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4FD4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38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B67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55E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C76EF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4E45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0CE"/>
    <w:rsid w:val="0041211A"/>
    <w:rsid w:val="004127A0"/>
    <w:rsid w:val="00412ABD"/>
    <w:rsid w:val="00412C14"/>
    <w:rsid w:val="00413801"/>
    <w:rsid w:val="00413861"/>
    <w:rsid w:val="0041471C"/>
    <w:rsid w:val="00414BF3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7D2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39F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85C"/>
    <w:rsid w:val="004E4FB7"/>
    <w:rsid w:val="004E563C"/>
    <w:rsid w:val="004E69C5"/>
    <w:rsid w:val="004E6C9B"/>
    <w:rsid w:val="004E6FA5"/>
    <w:rsid w:val="004F0A1D"/>
    <w:rsid w:val="004F17F7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3DC3"/>
    <w:rsid w:val="00554C8D"/>
    <w:rsid w:val="005553FE"/>
    <w:rsid w:val="005555FB"/>
    <w:rsid w:val="00556037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6BA"/>
    <w:rsid w:val="00596960"/>
    <w:rsid w:val="00596BDB"/>
    <w:rsid w:val="005970A9"/>
    <w:rsid w:val="00597579"/>
    <w:rsid w:val="00597BF2"/>
    <w:rsid w:val="00597CE0"/>
    <w:rsid w:val="005A015C"/>
    <w:rsid w:val="005A04AA"/>
    <w:rsid w:val="005A09BB"/>
    <w:rsid w:val="005A0E43"/>
    <w:rsid w:val="005A32D3"/>
    <w:rsid w:val="005A33BD"/>
    <w:rsid w:val="005A3D7E"/>
    <w:rsid w:val="005A4A78"/>
    <w:rsid w:val="005A4DDE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1FEE"/>
    <w:rsid w:val="005C2667"/>
    <w:rsid w:val="005C295A"/>
    <w:rsid w:val="005C2C21"/>
    <w:rsid w:val="005C3B4F"/>
    <w:rsid w:val="005C44D1"/>
    <w:rsid w:val="005C4C5F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BB9"/>
    <w:rsid w:val="005E5EF1"/>
    <w:rsid w:val="005E5F57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07FEF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162"/>
    <w:rsid w:val="006349A7"/>
    <w:rsid w:val="00634C01"/>
    <w:rsid w:val="00634DD7"/>
    <w:rsid w:val="00634EA3"/>
    <w:rsid w:val="00635717"/>
    <w:rsid w:val="00636D27"/>
    <w:rsid w:val="0063736B"/>
    <w:rsid w:val="006374D1"/>
    <w:rsid w:val="00637AF6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537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1B5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3E8D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1E5C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5C33"/>
    <w:rsid w:val="006E7677"/>
    <w:rsid w:val="006E7E43"/>
    <w:rsid w:val="006E7FCD"/>
    <w:rsid w:val="006F01E6"/>
    <w:rsid w:val="006F05FA"/>
    <w:rsid w:val="006F214B"/>
    <w:rsid w:val="006F2882"/>
    <w:rsid w:val="006F3358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5C50"/>
    <w:rsid w:val="007161D0"/>
    <w:rsid w:val="007162FB"/>
    <w:rsid w:val="00716EF1"/>
    <w:rsid w:val="007173D7"/>
    <w:rsid w:val="00717ADD"/>
    <w:rsid w:val="00717F12"/>
    <w:rsid w:val="0072084C"/>
    <w:rsid w:val="00720AC2"/>
    <w:rsid w:val="007230D3"/>
    <w:rsid w:val="0072348D"/>
    <w:rsid w:val="007242A5"/>
    <w:rsid w:val="0072615B"/>
    <w:rsid w:val="007267CF"/>
    <w:rsid w:val="007268DF"/>
    <w:rsid w:val="00727843"/>
    <w:rsid w:val="0073079A"/>
    <w:rsid w:val="00731FCA"/>
    <w:rsid w:val="007325C8"/>
    <w:rsid w:val="0073288E"/>
    <w:rsid w:val="00732B93"/>
    <w:rsid w:val="0073324D"/>
    <w:rsid w:val="0073362E"/>
    <w:rsid w:val="00735381"/>
    <w:rsid w:val="007363FE"/>
    <w:rsid w:val="00736D6F"/>
    <w:rsid w:val="0074014C"/>
    <w:rsid w:val="007408F6"/>
    <w:rsid w:val="00740946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1F67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688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106"/>
    <w:rsid w:val="007E427E"/>
    <w:rsid w:val="007E450C"/>
    <w:rsid w:val="007E4AD4"/>
    <w:rsid w:val="007E5C16"/>
    <w:rsid w:val="007E5C40"/>
    <w:rsid w:val="007E7B46"/>
    <w:rsid w:val="007F02C3"/>
    <w:rsid w:val="007F041D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146"/>
    <w:rsid w:val="008409AE"/>
    <w:rsid w:val="00840C71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14B7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04C9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1EF2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9F4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3248"/>
    <w:rsid w:val="009844BA"/>
    <w:rsid w:val="009857F1"/>
    <w:rsid w:val="00985A7D"/>
    <w:rsid w:val="00985EC8"/>
    <w:rsid w:val="00985F93"/>
    <w:rsid w:val="00986BF8"/>
    <w:rsid w:val="00986C82"/>
    <w:rsid w:val="00987CA6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D28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C07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48D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292B"/>
    <w:rsid w:val="00A43152"/>
    <w:rsid w:val="00A441AA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D00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118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3BB8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7A2"/>
    <w:rsid w:val="00B57C0E"/>
    <w:rsid w:val="00B602BA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48B2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C7B12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160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1DE3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517F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5FDD"/>
    <w:rsid w:val="00C675EB"/>
    <w:rsid w:val="00C676EA"/>
    <w:rsid w:val="00C700FE"/>
    <w:rsid w:val="00C712D8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8C1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0FB5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27D"/>
    <w:rsid w:val="00D1563A"/>
    <w:rsid w:val="00D159FF"/>
    <w:rsid w:val="00D15B2F"/>
    <w:rsid w:val="00D15CB1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3E9C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674D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362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A8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AFF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DC8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05D1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65D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5821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6E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2E5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261B"/>
    <w:rsid w:val="00E93208"/>
    <w:rsid w:val="00E933B4"/>
    <w:rsid w:val="00E93987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22F1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B3B"/>
    <w:rsid w:val="00ED0E29"/>
    <w:rsid w:val="00ED28C4"/>
    <w:rsid w:val="00ED334E"/>
    <w:rsid w:val="00ED3A2A"/>
    <w:rsid w:val="00ED3B13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457F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32E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FF"/>
    <w:rsid w:val="00F2497D"/>
    <w:rsid w:val="00F252EE"/>
    <w:rsid w:val="00F258D4"/>
    <w:rsid w:val="00F2670F"/>
    <w:rsid w:val="00F26FDE"/>
    <w:rsid w:val="00F27BA2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6C8D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5E78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6B8F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CA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00FF7DFF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0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FB6B8F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FB6B8F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character" w:customStyle="1" w:styleId="tabchar">
    <w:name w:val="tabchar"/>
    <w:basedOn w:val="DefaultParagraphFont"/>
    <w:rsid w:val="00E933B4"/>
  </w:style>
  <w:style w:type="paragraph" w:customStyle="1" w:styleId="ReferenceInternalOrdered">
    <w:name w:val="Reference Internal Ordered"/>
    <w:basedOn w:val="ReferenceOrdered"/>
    <w:rsid w:val="00840C71"/>
    <w:pPr>
      <w:numPr>
        <w:numId w:val="38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3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2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3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3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6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15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2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0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2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2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6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5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1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4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9117871B-816B-4394-8B32-5F759CA58853}"/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1223</Words>
  <Characters>8087</Characters>
  <Application>Microsoft Office Word</Application>
  <DocSecurity>0</DocSecurity>
  <Lines>188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Jakafi 1999-A SGM 2024</vt:lpstr>
    </vt:vector>
  </TitlesOfParts>
  <Company>PCS Health Systems</Company>
  <LinksUpToDate>false</LinksUpToDate>
  <CharactersWithSpaces>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Jakafi SGM 1999-A</dc:title>
  <dc:subject/>
  <dc:creator>CVS Caremark</dc:creator>
  <cp:keywords/>
  <cp:lastModifiedBy>Huerta, Linda M</cp:lastModifiedBy>
  <cp:revision>5</cp:revision>
  <cp:lastPrinted>2018-01-09T05:01:00Z</cp:lastPrinted>
  <dcterms:created xsi:type="dcterms:W3CDTF">2025-05-06T17:06:00Z</dcterms:created>
  <dcterms:modified xsi:type="dcterms:W3CDTF">2025-05-06T17:09:00Z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938100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